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80" w:rsidRDefault="00FD2580" w:rsidP="00FD2580">
      <w:pPr>
        <w:spacing w:before="100" w:beforeAutospacing="1" w:after="100" w:afterAutospacing="1" w:line="240" w:lineRule="auto"/>
        <w:rPr>
          <w:rFonts w:ascii="Trebuchet MS" w:eastAsia="Times New Roman" w:hAnsi="Trebuchet MS" w:cs="Times New Roman"/>
          <w:sz w:val="13"/>
          <w:szCs w:val="13"/>
          <w:lang w:eastAsia="it-IT"/>
        </w:rPr>
      </w:pPr>
    </w:p>
    <w:p w:rsidR="00FD2580" w:rsidRDefault="00FD2580" w:rsidP="00FD2580">
      <w:pPr>
        <w:spacing w:before="100" w:beforeAutospacing="1" w:after="100" w:afterAutospacing="1" w:line="240" w:lineRule="auto"/>
        <w:rPr>
          <w:rFonts w:ascii="Trebuchet MS" w:eastAsia="Times New Roman" w:hAnsi="Trebuchet MS" w:cs="Times New Roman"/>
          <w:sz w:val="13"/>
          <w:szCs w:val="13"/>
          <w:lang w:eastAsia="it-IT"/>
        </w:rPr>
      </w:pPr>
    </w:p>
    <w:p w:rsidR="00FD2580" w:rsidRPr="00FD2580" w:rsidRDefault="00FD2580" w:rsidP="00FD2580">
      <w:pPr>
        <w:spacing w:before="100" w:beforeAutospacing="1" w:after="100" w:afterAutospacing="1" w:line="240" w:lineRule="auto"/>
        <w:rPr>
          <w:rFonts w:ascii="Trebuchet MS" w:eastAsia="Times New Roman" w:hAnsi="Trebuchet MS" w:cs="Times New Roman"/>
          <w:sz w:val="13"/>
          <w:szCs w:val="13"/>
          <w:lang w:eastAsia="it-IT"/>
        </w:rPr>
      </w:pPr>
      <w:r w:rsidRPr="00FD2580">
        <w:rPr>
          <w:rFonts w:ascii="Trebuchet MS" w:eastAsia="Times New Roman" w:hAnsi="Trebuchet MS" w:cs="Times New Roman"/>
          <w:sz w:val="13"/>
          <w:szCs w:val="13"/>
          <w:lang w:eastAsia="it-IT"/>
        </w:rPr>
        <w:t xml:space="preserve">La Camera,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premesso che: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già l'articolo 9, comma 17, del decreto-legge n.</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78/2010, ha previsto che si dia luogo alle procedure contrattuali e negoziali ricadenti negli anni 2013 e 2014 del personale dipendente dalle amministrazioni pubbliche esclusivamente per la parte normativa e senza possibilità di recupero per la parte economica;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successivamente, l'articolo 1, commi da 254 a 256 della legge 190/2014 (legge di Stabilità per il 2015) ha disposto ulteriori norme per il blocco della contrattazione e degli incrementi stipendiali nel pubblico impiego;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il citato comma 254 ha prorogato fino al 31 dicembre 2015 il blocco economico della contrattazione nel pubblico impiego, già previsto fino al 31 dicembre 2014 dall'articolo 9, comma 17, secondo periodo, del decreto-legge 31 maggio 2010, n.</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78, con conseguente slittamento del triennio contrattuale dal 2015-2017 al 2016-2018;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il blocco della contrattazione nel pubblico impiego, per la parte economica, è pertanto operante fin dal 2010 e che le Commissioni riunite I e XI della Camera, già in sede di esame dello schema di regolamento di proroga della contrattazione e degli automatismi stipendiali per i pubblici dipendenti per il 2014(decreto del Presidente della Repubblica 122/2013), in attuazione dell'articolo 16, comma 1, del decreto-legge 88/2011, con il quale sono state prorogate a tutto il 2014 varie misure di contenimento delle spese di personale previste dall'articolo 9 del decreto-legge 78/2010, avevano posto una condizione in cui si chiedeva al Governo di tenere conto del fatto che le misure adottate dovessero «avere un carattere del tutto eccezionale e provvisorio rendendo, per il futuro, non ipotizzabile un ulteriore allungamento temporale, che rischierebbe di trasformare un intervento che doveva essere urta tantum e limitato nel tempo in una vera e propria deroga al meccanismo medesimo, da valutare attentamente rispetto alle previsioni costituzionali, con particolare riguardo a quelle recate dagli articoli 3, 36, 39 e 97 della Costituzione»;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xml:space="preserve">il Documento di Economia e Finanza 2015 stabilisce di fatto il blocco della contrattazione collettiva per tutto il settore del pubblico impiego fino al 2019, evidenziando, altresì, come l'incidenza della spesa per redditi da lavoro dipendente delle </w:t>
      </w:r>
      <w:proofErr w:type="spellStart"/>
      <w:r w:rsidRPr="00FD2580">
        <w:rPr>
          <w:rFonts w:ascii="Trebuchet MS" w:eastAsia="Times New Roman" w:hAnsi="Trebuchet MS" w:cs="Times New Roman"/>
          <w:sz w:val="13"/>
          <w:szCs w:val="13"/>
          <w:lang w:eastAsia="it-IT"/>
        </w:rPr>
        <w:t>PA</w:t>
      </w:r>
      <w:proofErr w:type="spellEnd"/>
      <w:r w:rsidRPr="00FD2580">
        <w:rPr>
          <w:rFonts w:ascii="Trebuchet MS" w:eastAsia="Times New Roman" w:hAnsi="Trebuchet MS" w:cs="Times New Roman"/>
          <w:sz w:val="13"/>
          <w:szCs w:val="13"/>
          <w:lang w:eastAsia="it-IT"/>
        </w:rPr>
        <w:t xml:space="preserve">. sul PIL nel 2014 ha rafforzato quel </w:t>
      </w:r>
      <w:r w:rsidRPr="00FD2580">
        <w:rPr>
          <w:rFonts w:ascii="Trebuchet MS" w:eastAsia="Times New Roman" w:hAnsi="Trebuchet MS" w:cs="Times New Roman"/>
          <w:i/>
          <w:iCs/>
          <w:sz w:val="13"/>
          <w:lang w:eastAsia="it-IT"/>
        </w:rPr>
        <w:t>trend</w:t>
      </w:r>
      <w:r w:rsidRPr="00FD2580">
        <w:rPr>
          <w:rFonts w:ascii="Trebuchet MS" w:eastAsia="Times New Roman" w:hAnsi="Trebuchet MS" w:cs="Times New Roman"/>
          <w:sz w:val="13"/>
          <w:szCs w:val="13"/>
          <w:lang w:eastAsia="it-IT"/>
        </w:rPr>
        <w:t xml:space="preserve"> decrescente avviato dal 2009, registrando un ulteriore calo dello 0,6 per cento rispetto al 2013, che si aggiunge alla diminuzione dello 0,7 per cento del 2013 e al 2,1 per cento del 2012; </w:t>
      </w:r>
      <w:r w:rsidRPr="00FD2580">
        <w:rPr>
          <w:rFonts w:ascii="Trebuchet MS" w:eastAsia="Times New Roman" w:hAnsi="Trebuchet MS" w:cs="Times New Roman"/>
          <w:sz w:val="13"/>
          <w:szCs w:val="13"/>
          <w:lang w:eastAsia="it-IT"/>
        </w:rPr>
        <w:br/>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anche a seguito della sentenza n.</w:t>
      </w:r>
      <w:r w:rsidRPr="00FD2580">
        <w:rPr>
          <w:rFonts w:ascii="Trebuchet MS" w:eastAsia="Times New Roman" w:hAnsi="Trebuchet MS" w:cs="Times New Roman"/>
          <w:sz w:val="13"/>
          <w:szCs w:val="13"/>
          <w:lang w:eastAsia="it-IT"/>
        </w:rPr>
        <w:t> </w:t>
      </w:r>
      <w:r w:rsidRPr="00FD2580">
        <w:rPr>
          <w:rFonts w:ascii="Trebuchet MS" w:eastAsia="Times New Roman" w:hAnsi="Trebuchet MS" w:cs="Times New Roman"/>
          <w:sz w:val="13"/>
          <w:szCs w:val="13"/>
          <w:lang w:eastAsia="it-IT"/>
        </w:rPr>
        <w:t>178/2015 della Corte Costituzionale, con i commi 246-249 del provvedimento in oggetto si approntano 300 milioni di euro annui, per il triennio 2016-2018, per i rinnovi della contrattazione collettiva nazionale e integrativa contrattuali del personale delle pubbliche amministrazioni. Tali stanziamenti, sebbene condizionati dal quadro di compatibilità con i saldi di finanza pubblica, possono rappresentare una base per il parziale recupero del potere d'acquisto delle retribuzioni dei dipendenti pubblici,</w:t>
      </w:r>
    </w:p>
    <w:p w:rsidR="00FD2580" w:rsidRPr="00FD2580" w:rsidRDefault="00FD2580" w:rsidP="00FD2580">
      <w:pPr>
        <w:spacing w:before="100" w:beforeAutospacing="1" w:after="100" w:afterAutospacing="1" w:line="240" w:lineRule="auto"/>
        <w:jc w:val="center"/>
        <w:rPr>
          <w:rFonts w:ascii="Trebuchet MS" w:eastAsia="Times New Roman" w:hAnsi="Trebuchet MS" w:cs="Times New Roman"/>
          <w:sz w:val="13"/>
          <w:szCs w:val="13"/>
          <w:lang w:eastAsia="it-IT"/>
        </w:rPr>
      </w:pPr>
      <w:r w:rsidRPr="00FD2580">
        <w:rPr>
          <w:rFonts w:ascii="Trebuchet MS" w:eastAsia="Times New Roman" w:hAnsi="Trebuchet MS" w:cs="Times New Roman"/>
          <w:sz w:val="13"/>
          <w:szCs w:val="13"/>
          <w:lang w:eastAsia="it-IT"/>
        </w:rPr>
        <w:t>impegna il Governo</w:t>
      </w:r>
    </w:p>
    <w:p w:rsidR="00FD2580" w:rsidRPr="00FD2580" w:rsidRDefault="00FD2580" w:rsidP="00FD2580">
      <w:pPr>
        <w:spacing w:before="100" w:beforeAutospacing="1" w:after="100" w:afterAutospacing="1" w:line="240" w:lineRule="auto"/>
        <w:rPr>
          <w:rFonts w:ascii="Trebuchet MS" w:eastAsia="Times New Roman" w:hAnsi="Trebuchet MS" w:cs="Times New Roman"/>
          <w:sz w:val="13"/>
          <w:szCs w:val="13"/>
          <w:lang w:eastAsia="it-IT"/>
        </w:rPr>
      </w:pPr>
      <w:r w:rsidRPr="00FD2580">
        <w:rPr>
          <w:rFonts w:ascii="Trebuchet MS" w:eastAsia="Times New Roman" w:hAnsi="Trebuchet MS" w:cs="Times New Roman"/>
          <w:sz w:val="13"/>
          <w:szCs w:val="13"/>
          <w:lang w:eastAsia="it-IT"/>
        </w:rPr>
        <w:t xml:space="preserve">ad assumere le opportune iniziative per il reperimento delle idonee risorse finanziare che possano consentire, progressivamente e in tempi rapidi, la riapertura della contrattazione nelle pubbliche amministrazioni, sia per la parte normativa che per la parte economica, finalizzate alla valorizzazione delle professionalità del personale del comparto pubblico e la difesa del potere d'acquisto delle retribuzioni; nonché al fine di sostenere adeguatamente il processo di riordino e di riqualificazione della pubblica amministrazione e per garantirne l'efficienza e la qualità dei servizi offerti ai cittadini e alle imprese. </w:t>
      </w:r>
      <w:r w:rsidRPr="00FD2580">
        <w:rPr>
          <w:rFonts w:ascii="Trebuchet MS" w:eastAsia="Times New Roman" w:hAnsi="Trebuchet MS" w:cs="Times New Roman"/>
          <w:sz w:val="13"/>
          <w:szCs w:val="13"/>
          <w:lang w:eastAsia="it-IT"/>
        </w:rPr>
        <w:br/>
        <w:t>9/3444-A/</w:t>
      </w:r>
      <w:r w:rsidRPr="00FD2580">
        <w:rPr>
          <w:rFonts w:ascii="Trebuchet MS" w:eastAsia="Times New Roman" w:hAnsi="Trebuchet MS" w:cs="Times New Roman"/>
          <w:b/>
          <w:bCs/>
          <w:sz w:val="13"/>
          <w:lang w:eastAsia="it-IT"/>
        </w:rPr>
        <w:t>49</w:t>
      </w:r>
      <w:r w:rsidRPr="00FD2580">
        <w:rPr>
          <w:rFonts w:ascii="Trebuchet MS" w:eastAsia="Times New Roman" w:hAnsi="Trebuchet MS" w:cs="Times New Roman"/>
          <w:sz w:val="13"/>
          <w:szCs w:val="13"/>
          <w:lang w:eastAsia="it-IT"/>
        </w:rPr>
        <w:t xml:space="preserve">. </w:t>
      </w:r>
      <w:hyperlink r:id="rId4" w:tooltip="Vai alla scheda personale: DAMIANO Cesare" w:history="1">
        <w:r w:rsidRPr="00FD2580">
          <w:rPr>
            <w:rFonts w:ascii="Trebuchet MS" w:eastAsia="Times New Roman" w:hAnsi="Trebuchet MS" w:cs="Times New Roman"/>
            <w:color w:val="234E96"/>
            <w:sz w:val="13"/>
            <w:lang w:eastAsia="it-IT"/>
          </w:rPr>
          <w:t>Damiano</w:t>
        </w:r>
      </w:hyperlink>
      <w:r w:rsidRPr="00FD2580">
        <w:rPr>
          <w:rFonts w:ascii="Trebuchet MS" w:eastAsia="Times New Roman" w:hAnsi="Trebuchet MS" w:cs="Times New Roman"/>
          <w:sz w:val="13"/>
          <w:szCs w:val="13"/>
          <w:lang w:eastAsia="it-IT"/>
        </w:rPr>
        <w:t xml:space="preserve">, </w:t>
      </w:r>
      <w:hyperlink r:id="rId5" w:tooltip="Vai alla scheda personale: GNECCHI Marialuisa" w:history="1">
        <w:proofErr w:type="spellStart"/>
        <w:r w:rsidRPr="00FD2580">
          <w:rPr>
            <w:rFonts w:ascii="Trebuchet MS" w:eastAsia="Times New Roman" w:hAnsi="Trebuchet MS" w:cs="Times New Roman"/>
            <w:color w:val="234E96"/>
            <w:sz w:val="13"/>
            <w:lang w:eastAsia="it-IT"/>
          </w:rPr>
          <w:t>Gnecchi</w:t>
        </w:r>
        <w:proofErr w:type="spellEnd"/>
      </w:hyperlink>
      <w:r w:rsidRPr="00FD2580">
        <w:rPr>
          <w:rFonts w:ascii="Trebuchet MS" w:eastAsia="Times New Roman" w:hAnsi="Trebuchet MS" w:cs="Times New Roman"/>
          <w:sz w:val="13"/>
          <w:szCs w:val="13"/>
          <w:lang w:eastAsia="it-IT"/>
        </w:rPr>
        <w:t xml:space="preserve">, </w:t>
      </w:r>
      <w:hyperlink r:id="rId6" w:tooltip="Vai alla scheda personale: MICCOLI Marco" w:history="1">
        <w:proofErr w:type="spellStart"/>
        <w:r w:rsidRPr="00FD2580">
          <w:rPr>
            <w:rFonts w:ascii="Trebuchet MS" w:eastAsia="Times New Roman" w:hAnsi="Trebuchet MS" w:cs="Times New Roman"/>
            <w:color w:val="234E96"/>
            <w:sz w:val="13"/>
            <w:lang w:eastAsia="it-IT"/>
          </w:rPr>
          <w:t>Miccoli</w:t>
        </w:r>
        <w:proofErr w:type="spellEnd"/>
      </w:hyperlink>
      <w:r w:rsidRPr="00FD2580">
        <w:rPr>
          <w:rFonts w:ascii="Trebuchet MS" w:eastAsia="Times New Roman" w:hAnsi="Trebuchet MS" w:cs="Times New Roman"/>
          <w:sz w:val="13"/>
          <w:szCs w:val="13"/>
          <w:lang w:eastAsia="it-IT"/>
        </w:rPr>
        <w:t xml:space="preserve">, </w:t>
      </w:r>
      <w:hyperlink r:id="rId7" w:tooltip="Vai alla scheda personale: ALBANELLA Luisella" w:history="1">
        <w:r w:rsidRPr="00FD2580">
          <w:rPr>
            <w:rFonts w:ascii="Trebuchet MS" w:eastAsia="Times New Roman" w:hAnsi="Trebuchet MS" w:cs="Times New Roman"/>
            <w:color w:val="234E96"/>
            <w:sz w:val="13"/>
            <w:lang w:eastAsia="it-IT"/>
          </w:rPr>
          <w:t>Albanella</w:t>
        </w:r>
      </w:hyperlink>
      <w:r w:rsidRPr="00FD2580">
        <w:rPr>
          <w:rFonts w:ascii="Trebuchet MS" w:eastAsia="Times New Roman" w:hAnsi="Trebuchet MS" w:cs="Times New Roman"/>
          <w:sz w:val="13"/>
          <w:szCs w:val="13"/>
          <w:lang w:eastAsia="it-IT"/>
        </w:rPr>
        <w:t xml:space="preserve">, </w:t>
      </w:r>
      <w:hyperlink r:id="rId8" w:tooltip="Vai alla scheda personale: BARUFFI Davide" w:history="1">
        <w:r w:rsidRPr="00FD2580">
          <w:rPr>
            <w:rFonts w:ascii="Trebuchet MS" w:eastAsia="Times New Roman" w:hAnsi="Trebuchet MS" w:cs="Times New Roman"/>
            <w:color w:val="234E96"/>
            <w:sz w:val="13"/>
            <w:lang w:eastAsia="it-IT"/>
          </w:rPr>
          <w:t>Baruffi</w:t>
        </w:r>
      </w:hyperlink>
      <w:r w:rsidRPr="00FD2580">
        <w:rPr>
          <w:rFonts w:ascii="Trebuchet MS" w:eastAsia="Times New Roman" w:hAnsi="Trebuchet MS" w:cs="Times New Roman"/>
          <w:sz w:val="13"/>
          <w:szCs w:val="13"/>
          <w:lang w:eastAsia="it-IT"/>
        </w:rPr>
        <w:t xml:space="preserve">, </w:t>
      </w:r>
      <w:hyperlink r:id="rId9" w:tooltip="Vai alla scheda personale: BOCCUZZI Antonio" w:history="1">
        <w:proofErr w:type="spellStart"/>
        <w:r w:rsidRPr="00FD2580">
          <w:rPr>
            <w:rFonts w:ascii="Trebuchet MS" w:eastAsia="Times New Roman" w:hAnsi="Trebuchet MS" w:cs="Times New Roman"/>
            <w:color w:val="234E96"/>
            <w:sz w:val="13"/>
            <w:lang w:eastAsia="it-IT"/>
          </w:rPr>
          <w:t>Boccuzzi</w:t>
        </w:r>
        <w:proofErr w:type="spellEnd"/>
      </w:hyperlink>
      <w:r w:rsidRPr="00FD2580">
        <w:rPr>
          <w:rFonts w:ascii="Trebuchet MS" w:eastAsia="Times New Roman" w:hAnsi="Trebuchet MS" w:cs="Times New Roman"/>
          <w:sz w:val="13"/>
          <w:szCs w:val="13"/>
          <w:lang w:eastAsia="it-IT"/>
        </w:rPr>
        <w:t xml:space="preserve">, </w:t>
      </w:r>
      <w:hyperlink r:id="rId10" w:tooltip="Vai alla scheda personale: CASELLATO Floriana" w:history="1">
        <w:proofErr w:type="spellStart"/>
        <w:r w:rsidRPr="00FD2580">
          <w:rPr>
            <w:rFonts w:ascii="Trebuchet MS" w:eastAsia="Times New Roman" w:hAnsi="Trebuchet MS" w:cs="Times New Roman"/>
            <w:color w:val="234E96"/>
            <w:sz w:val="13"/>
            <w:lang w:eastAsia="it-IT"/>
          </w:rPr>
          <w:t>Casellato</w:t>
        </w:r>
        <w:proofErr w:type="spellEnd"/>
      </w:hyperlink>
      <w:r w:rsidRPr="00FD2580">
        <w:rPr>
          <w:rFonts w:ascii="Trebuchet MS" w:eastAsia="Times New Roman" w:hAnsi="Trebuchet MS" w:cs="Times New Roman"/>
          <w:sz w:val="13"/>
          <w:szCs w:val="13"/>
          <w:lang w:eastAsia="it-IT"/>
        </w:rPr>
        <w:t xml:space="preserve">, </w:t>
      </w:r>
      <w:hyperlink r:id="rId11" w:tooltip="Vai alla scheda personale: CUOMO Antonio" w:history="1">
        <w:proofErr w:type="spellStart"/>
        <w:r w:rsidRPr="00FD2580">
          <w:rPr>
            <w:rFonts w:ascii="Trebuchet MS" w:eastAsia="Times New Roman" w:hAnsi="Trebuchet MS" w:cs="Times New Roman"/>
            <w:color w:val="234E96"/>
            <w:sz w:val="13"/>
            <w:lang w:eastAsia="it-IT"/>
          </w:rPr>
          <w:t>Cuomo</w:t>
        </w:r>
        <w:proofErr w:type="spellEnd"/>
      </w:hyperlink>
      <w:r w:rsidRPr="00FD2580">
        <w:rPr>
          <w:rFonts w:ascii="Trebuchet MS" w:eastAsia="Times New Roman" w:hAnsi="Trebuchet MS" w:cs="Times New Roman"/>
          <w:sz w:val="13"/>
          <w:szCs w:val="13"/>
          <w:lang w:eastAsia="it-IT"/>
        </w:rPr>
        <w:t xml:space="preserve">, </w:t>
      </w:r>
      <w:hyperlink r:id="rId12" w:tooltip="Vai alla scheda personale: DI SALVO Titti" w:history="1">
        <w:r w:rsidRPr="00FD2580">
          <w:rPr>
            <w:rFonts w:ascii="Trebuchet MS" w:eastAsia="Times New Roman" w:hAnsi="Trebuchet MS" w:cs="Times New Roman"/>
            <w:color w:val="234E96"/>
            <w:sz w:val="13"/>
            <w:lang w:eastAsia="it-IT"/>
          </w:rPr>
          <w:t>Di Salvo</w:t>
        </w:r>
      </w:hyperlink>
      <w:r w:rsidRPr="00FD2580">
        <w:rPr>
          <w:rFonts w:ascii="Trebuchet MS" w:eastAsia="Times New Roman" w:hAnsi="Trebuchet MS" w:cs="Times New Roman"/>
          <w:sz w:val="13"/>
          <w:szCs w:val="13"/>
          <w:lang w:eastAsia="it-IT"/>
        </w:rPr>
        <w:t xml:space="preserve">, </w:t>
      </w:r>
      <w:hyperlink r:id="rId13" w:tooltip="Vai alla scheda personale: GIACOBBE Anna" w:history="1">
        <w:r w:rsidRPr="00FD2580">
          <w:rPr>
            <w:rFonts w:ascii="Trebuchet MS" w:eastAsia="Times New Roman" w:hAnsi="Trebuchet MS" w:cs="Times New Roman"/>
            <w:color w:val="234E96"/>
            <w:sz w:val="13"/>
            <w:lang w:eastAsia="it-IT"/>
          </w:rPr>
          <w:t>Giacobbe</w:t>
        </w:r>
      </w:hyperlink>
      <w:r w:rsidRPr="00FD2580">
        <w:rPr>
          <w:rFonts w:ascii="Trebuchet MS" w:eastAsia="Times New Roman" w:hAnsi="Trebuchet MS" w:cs="Times New Roman"/>
          <w:sz w:val="13"/>
          <w:szCs w:val="13"/>
          <w:lang w:eastAsia="it-IT"/>
        </w:rPr>
        <w:t xml:space="preserve">, </w:t>
      </w:r>
      <w:hyperlink r:id="rId14" w:tooltip="Vai alla scheda personale: GRIBAUDO Chiara" w:history="1">
        <w:proofErr w:type="spellStart"/>
        <w:r w:rsidRPr="00FD2580">
          <w:rPr>
            <w:rFonts w:ascii="Trebuchet MS" w:eastAsia="Times New Roman" w:hAnsi="Trebuchet MS" w:cs="Times New Roman"/>
            <w:color w:val="234E96"/>
            <w:sz w:val="13"/>
            <w:lang w:eastAsia="it-IT"/>
          </w:rPr>
          <w:t>Gribaudo</w:t>
        </w:r>
        <w:proofErr w:type="spellEnd"/>
      </w:hyperlink>
      <w:r w:rsidRPr="00FD2580">
        <w:rPr>
          <w:rFonts w:ascii="Trebuchet MS" w:eastAsia="Times New Roman" w:hAnsi="Trebuchet MS" w:cs="Times New Roman"/>
          <w:sz w:val="13"/>
          <w:szCs w:val="13"/>
          <w:lang w:eastAsia="it-IT"/>
        </w:rPr>
        <w:t xml:space="preserve">, </w:t>
      </w:r>
      <w:hyperlink r:id="rId15" w:tooltip="Vai alla scheda personale: INCERTI Antonella" w:history="1">
        <w:r w:rsidRPr="00FD2580">
          <w:rPr>
            <w:rFonts w:ascii="Trebuchet MS" w:eastAsia="Times New Roman" w:hAnsi="Trebuchet MS" w:cs="Times New Roman"/>
            <w:color w:val="234E96"/>
            <w:sz w:val="13"/>
            <w:lang w:eastAsia="it-IT"/>
          </w:rPr>
          <w:t>Incerti</w:t>
        </w:r>
      </w:hyperlink>
      <w:r w:rsidRPr="00FD2580">
        <w:rPr>
          <w:rFonts w:ascii="Trebuchet MS" w:eastAsia="Times New Roman" w:hAnsi="Trebuchet MS" w:cs="Times New Roman"/>
          <w:sz w:val="13"/>
          <w:szCs w:val="13"/>
          <w:lang w:eastAsia="it-IT"/>
        </w:rPr>
        <w:t xml:space="preserve">, </w:t>
      </w:r>
      <w:hyperlink r:id="rId16" w:tooltip="Vai alla scheda personale: MAESTRI Patrizia" w:history="1">
        <w:r w:rsidRPr="00FD2580">
          <w:rPr>
            <w:rFonts w:ascii="Trebuchet MS" w:eastAsia="Times New Roman" w:hAnsi="Trebuchet MS" w:cs="Times New Roman"/>
            <w:color w:val="234E96"/>
            <w:sz w:val="13"/>
            <w:lang w:eastAsia="it-IT"/>
          </w:rPr>
          <w:t>Patrizia Maestri</w:t>
        </w:r>
      </w:hyperlink>
      <w:r w:rsidRPr="00FD2580">
        <w:rPr>
          <w:rFonts w:ascii="Trebuchet MS" w:eastAsia="Times New Roman" w:hAnsi="Trebuchet MS" w:cs="Times New Roman"/>
          <w:sz w:val="13"/>
          <w:szCs w:val="13"/>
          <w:lang w:eastAsia="it-IT"/>
        </w:rPr>
        <w:t xml:space="preserve">, </w:t>
      </w:r>
      <w:hyperlink r:id="rId17" w:tooltip="Vai alla scheda personale: PARIS Valentina" w:history="1">
        <w:proofErr w:type="spellStart"/>
        <w:r w:rsidRPr="00FD2580">
          <w:rPr>
            <w:rFonts w:ascii="Trebuchet MS" w:eastAsia="Times New Roman" w:hAnsi="Trebuchet MS" w:cs="Times New Roman"/>
            <w:color w:val="234E96"/>
            <w:sz w:val="13"/>
            <w:lang w:eastAsia="it-IT"/>
          </w:rPr>
          <w:t>Paris</w:t>
        </w:r>
        <w:proofErr w:type="spellEnd"/>
      </w:hyperlink>
      <w:r w:rsidRPr="00FD2580">
        <w:rPr>
          <w:rFonts w:ascii="Trebuchet MS" w:eastAsia="Times New Roman" w:hAnsi="Trebuchet MS" w:cs="Times New Roman"/>
          <w:sz w:val="13"/>
          <w:szCs w:val="13"/>
          <w:lang w:eastAsia="it-IT"/>
        </w:rPr>
        <w:t>,</w:t>
      </w:r>
      <w:hyperlink r:id="rId18" w:tooltip="Vai alla scheda personale: PICCOLO Giorgio" w:history="1">
        <w:r w:rsidRPr="00FD2580">
          <w:rPr>
            <w:rFonts w:ascii="Trebuchet MS" w:eastAsia="Times New Roman" w:hAnsi="Trebuchet MS" w:cs="Times New Roman"/>
            <w:color w:val="0000FF"/>
            <w:sz w:val="13"/>
            <w:lang w:eastAsia="it-IT"/>
          </w:rPr>
          <w:t xml:space="preserve"> </w:t>
        </w:r>
        <w:r w:rsidRPr="00FD2580">
          <w:rPr>
            <w:rFonts w:ascii="Trebuchet MS" w:eastAsia="Times New Roman" w:hAnsi="Trebuchet MS" w:cs="Times New Roman"/>
            <w:color w:val="234E96"/>
            <w:sz w:val="13"/>
            <w:lang w:eastAsia="it-IT"/>
          </w:rPr>
          <w:t>Giorgio Piccolo</w:t>
        </w:r>
      </w:hyperlink>
      <w:r w:rsidRPr="00FD2580">
        <w:rPr>
          <w:rFonts w:ascii="Trebuchet MS" w:eastAsia="Times New Roman" w:hAnsi="Trebuchet MS" w:cs="Times New Roman"/>
          <w:sz w:val="13"/>
          <w:szCs w:val="13"/>
          <w:lang w:eastAsia="it-IT"/>
        </w:rPr>
        <w:t xml:space="preserve">, </w:t>
      </w:r>
      <w:hyperlink r:id="rId19" w:tooltip="Vai alla scheda personale: ZAPPULLA Giuseppe" w:history="1">
        <w:proofErr w:type="spellStart"/>
        <w:r w:rsidRPr="00FD2580">
          <w:rPr>
            <w:rFonts w:ascii="Trebuchet MS" w:eastAsia="Times New Roman" w:hAnsi="Trebuchet MS" w:cs="Times New Roman"/>
            <w:color w:val="234E96"/>
            <w:sz w:val="13"/>
            <w:lang w:eastAsia="it-IT"/>
          </w:rPr>
          <w:t>Zappulla</w:t>
        </w:r>
        <w:proofErr w:type="spellEnd"/>
      </w:hyperlink>
      <w:r w:rsidRPr="00FD2580">
        <w:rPr>
          <w:rFonts w:ascii="Trebuchet MS" w:eastAsia="Times New Roman" w:hAnsi="Trebuchet MS" w:cs="Times New Roman"/>
          <w:sz w:val="13"/>
          <w:szCs w:val="13"/>
          <w:lang w:eastAsia="it-IT"/>
        </w:rPr>
        <w:t xml:space="preserve">, </w:t>
      </w:r>
      <w:hyperlink r:id="rId20" w:tooltip="Vai alla scheda personale: CARRA Marco" w:history="1">
        <w:proofErr w:type="spellStart"/>
        <w:r w:rsidRPr="00FD2580">
          <w:rPr>
            <w:rFonts w:ascii="Trebuchet MS" w:eastAsia="Times New Roman" w:hAnsi="Trebuchet MS" w:cs="Times New Roman"/>
            <w:color w:val="234E96"/>
            <w:sz w:val="13"/>
            <w:lang w:eastAsia="it-IT"/>
          </w:rPr>
          <w:t>Carra</w:t>
        </w:r>
        <w:proofErr w:type="spellEnd"/>
      </w:hyperlink>
      <w:r w:rsidRPr="00FD2580">
        <w:rPr>
          <w:rFonts w:ascii="Trebuchet MS" w:eastAsia="Times New Roman" w:hAnsi="Trebuchet MS" w:cs="Times New Roman"/>
          <w:sz w:val="13"/>
          <w:szCs w:val="13"/>
          <w:lang w:eastAsia="it-IT"/>
        </w:rPr>
        <w:t>.</w:t>
      </w:r>
    </w:p>
    <w:p w:rsidR="00FD2580" w:rsidRPr="00FD2580" w:rsidRDefault="00FD2580" w:rsidP="00FD2580">
      <w:pPr>
        <w:spacing w:after="0" w:line="240" w:lineRule="auto"/>
        <w:rPr>
          <w:rFonts w:ascii="Verdana" w:eastAsia="Times New Roman" w:hAnsi="Verdana" w:cs="Times New Roman"/>
          <w:sz w:val="20"/>
          <w:szCs w:val="20"/>
          <w:lang w:eastAsia="it-IT"/>
        </w:rPr>
      </w:pPr>
    </w:p>
    <w:p w:rsidR="00D17DEC" w:rsidRDefault="00D17DEC"/>
    <w:sectPr w:rsidR="00D17DEC" w:rsidSect="00D17D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08"/>
  <w:hyphenationZone w:val="283"/>
  <w:characterSpacingControl w:val="doNotCompress"/>
  <w:compat/>
  <w:rsids>
    <w:rsidRoot w:val="00FD2580"/>
    <w:rsid w:val="002472D8"/>
    <w:rsid w:val="00605C44"/>
    <w:rsid w:val="00D17DEC"/>
    <w:rsid w:val="00FD2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D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25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D2580"/>
    <w:rPr>
      <w:i/>
      <w:iCs/>
    </w:rPr>
  </w:style>
  <w:style w:type="paragraph" w:customStyle="1" w:styleId="center">
    <w:name w:val="center"/>
    <w:basedOn w:val="Normale"/>
    <w:rsid w:val="00FD25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D2580"/>
    <w:rPr>
      <w:b/>
      <w:bCs/>
    </w:rPr>
  </w:style>
  <w:style w:type="character" w:styleId="Collegamentoipertestuale">
    <w:name w:val="Hyperlink"/>
    <w:basedOn w:val="Carpredefinitoparagrafo"/>
    <w:uiPriority w:val="99"/>
    <w:semiHidden/>
    <w:unhideWhenUsed/>
    <w:rsid w:val="00FD2580"/>
    <w:rPr>
      <w:color w:val="0000FF"/>
      <w:u w:val="single"/>
    </w:rPr>
  </w:style>
</w:styles>
</file>

<file path=word/webSettings.xml><?xml version="1.0" encoding="utf-8"?>
<w:webSettings xmlns:r="http://schemas.openxmlformats.org/officeDocument/2006/relationships" xmlns:w="http://schemas.openxmlformats.org/wordprocessingml/2006/main">
  <w:divs>
    <w:div w:id="828982922">
      <w:bodyDiv w:val="1"/>
      <w:marLeft w:val="0"/>
      <w:marRight w:val="0"/>
      <w:marTop w:val="0"/>
      <w:marBottom w:val="0"/>
      <w:divBdr>
        <w:top w:val="none" w:sz="0" w:space="0" w:color="auto"/>
        <w:left w:val="none" w:sz="0" w:space="0" w:color="auto"/>
        <w:bottom w:val="none" w:sz="0" w:space="0" w:color="auto"/>
        <w:right w:val="none" w:sz="0" w:space="0" w:color="auto"/>
      </w:divBdr>
      <w:divsChild>
        <w:div w:id="168377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i.intra.camera.it/apps/commonServices/getDocumento.ashx?sezione=deputati&amp;tipoDoc=schedaDeputato&amp;idLegislatura=17&amp;idPersona=305948&amp;webType=Normale&amp;http_referer=https://portale.intra.camera.it/portal/portal" TargetMode="External"/><Relationship Id="rId13" Type="http://schemas.openxmlformats.org/officeDocument/2006/relationships/hyperlink" Target="https://documenti.intra.camera.it/apps/commonServices/getDocumento.ashx?sezione=deputati&amp;tipoDoc=schedaDeputato&amp;idLegislatura=17&amp;idPersona=305719&amp;webType=Normale&amp;http_referer=https://portale.intra.camera.it/portal/portal" TargetMode="External"/><Relationship Id="rId18" Type="http://schemas.openxmlformats.org/officeDocument/2006/relationships/hyperlink" Target="https://documenti.intra.camera.it/apps/commonServices/getDocumento.ashx?sezione=deputati&amp;tipoDoc=schedaDeputato&amp;idLegislatura=17&amp;idPersona=305878&amp;webType=Normale&amp;http_referer=https://portale.intra.camera.it/portal/port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umenti.intra.camera.it/apps/commonServices/getDocumento.ashx?sezione=deputati&amp;tipoDoc=schedaDeputato&amp;idLegislatura=17&amp;idPersona=306112&amp;webType=Normale&amp;http_referer=https://portale.intra.camera.it/portal/portal" TargetMode="External"/><Relationship Id="rId12" Type="http://schemas.openxmlformats.org/officeDocument/2006/relationships/hyperlink" Target="https://documenti.intra.camera.it/apps/commonServices/getDocumento.ashx?sezione=deputati&amp;tipoDoc=schedaDeputato&amp;idLegislatura=17&amp;idPersona=301576&amp;webType=Normale&amp;http_referer=https://portale.intra.camera.it/portal/portal" TargetMode="External"/><Relationship Id="rId17" Type="http://schemas.openxmlformats.org/officeDocument/2006/relationships/hyperlink" Target="https://documenti.intra.camera.it/apps/commonServices/getDocumento.ashx?sezione=deputati&amp;tipoDoc=schedaDeputato&amp;idLegislatura=17&amp;idPersona=305941&amp;webType=Normale&amp;http_referer=https://portale.intra.camera.it/portal/portal" TargetMode="External"/><Relationship Id="rId2" Type="http://schemas.openxmlformats.org/officeDocument/2006/relationships/settings" Target="settings.xml"/><Relationship Id="rId16" Type="http://schemas.openxmlformats.org/officeDocument/2006/relationships/hyperlink" Target="https://documenti.intra.camera.it/apps/commonServices/getDocumento.ashx?sezione=deputati&amp;tipoDoc=schedaDeputato&amp;idLegislatura=17&amp;idPersona=305742&amp;webType=Normale&amp;http_referer=https://portale.intra.camera.it/portal/portal" TargetMode="External"/><Relationship Id="rId20" Type="http://schemas.openxmlformats.org/officeDocument/2006/relationships/hyperlink" Target="https://documenti.intra.camera.it/apps/commonServices/getDocumento.ashx?sezione=deputati&amp;tipoDoc=schedaDeputato&amp;idLegislatura=17&amp;idPersona=302760&amp;webType=Normale&amp;http_referer=https://portale.intra.camera.it/portal/portal" TargetMode="External"/><Relationship Id="rId1" Type="http://schemas.openxmlformats.org/officeDocument/2006/relationships/styles" Target="styles.xml"/><Relationship Id="rId6" Type="http://schemas.openxmlformats.org/officeDocument/2006/relationships/hyperlink" Target="https://documenti.intra.camera.it/apps/commonServices/getDocumento.ashx?sezione=deputati&amp;tipoDoc=schedaDeputato&amp;idLegislatura=17&amp;idPersona=305817&amp;webType=Normale&amp;http_referer=https://portale.intra.camera.it/portal/portal" TargetMode="External"/><Relationship Id="rId11" Type="http://schemas.openxmlformats.org/officeDocument/2006/relationships/hyperlink" Target="https://documenti.intra.camera.it/apps/commonServices/getDocumento.ashx?sezione=deputati&amp;tipoDoc=schedaDeputato&amp;idLegislatura=17&amp;idPersona=302946&amp;webType=Normale&amp;http_referer=https://portale.intra.camera.it/portal/portal" TargetMode="External"/><Relationship Id="rId5" Type="http://schemas.openxmlformats.org/officeDocument/2006/relationships/hyperlink" Target="https://documenti.intra.camera.it/apps/commonServices/getDocumento.ashx?sezione=deputati&amp;tipoDoc=schedaDeputato&amp;idLegislatura=17&amp;idPersona=302862&amp;webType=Normale&amp;http_referer=https://portale.intra.camera.it/portal/portal" TargetMode="External"/><Relationship Id="rId15" Type="http://schemas.openxmlformats.org/officeDocument/2006/relationships/hyperlink" Target="https://documenti.intra.camera.it/apps/commonServices/getDocumento.ashx?sezione=deputati&amp;tipoDoc=schedaDeputato&amp;idLegislatura=17&amp;idPersona=305702&amp;webType=Normale&amp;http_referer=https://portale.intra.camera.it/portal/portal" TargetMode="External"/><Relationship Id="rId10" Type="http://schemas.openxmlformats.org/officeDocument/2006/relationships/hyperlink" Target="https://documenti.intra.camera.it/apps/commonServices/getDocumento.ashx?sezione=deputati&amp;tipoDoc=schedaDeputato&amp;idLegislatura=17&amp;idPersona=305654&amp;webType=Normale&amp;http_referer=https://portale.intra.camera.it/portal/portal" TargetMode="External"/><Relationship Id="rId19" Type="http://schemas.openxmlformats.org/officeDocument/2006/relationships/hyperlink" Target="https://documenti.intra.camera.it/apps/commonServices/getDocumento.ashx?sezione=deputati&amp;tipoDoc=schedaDeputato&amp;idLegislatura=17&amp;idPersona=306104&amp;webType=Normale&amp;http_referer=https://portale.intra.camera.it/portal/portal" TargetMode="External"/><Relationship Id="rId4" Type="http://schemas.openxmlformats.org/officeDocument/2006/relationships/hyperlink" Target="https://documenti.intra.camera.it/apps/commonServices/getDocumento.ashx?sezione=deputati&amp;tipoDoc=schedaDeputato&amp;idLegislatura=17&amp;idPersona=301532&amp;webType=Normale&amp;http_referer=https://portale.intra.camera.it/portal/portal" TargetMode="External"/><Relationship Id="rId9" Type="http://schemas.openxmlformats.org/officeDocument/2006/relationships/hyperlink" Target="https://documenti.intra.camera.it/apps/commonServices/getDocumento.ashx?sezione=deputati&amp;tipoDoc=schedaDeputato&amp;idLegislatura=17&amp;idPersona=302779&amp;webType=Normale&amp;http_referer=https://portale.intra.camera.it/portal/portal" TargetMode="External"/><Relationship Id="rId14" Type="http://schemas.openxmlformats.org/officeDocument/2006/relationships/hyperlink" Target="https://documenti.intra.camera.it/apps/commonServices/getDocumento.ashx?sezione=deputati&amp;tipoDoc=schedaDeputato&amp;idLegislatura=17&amp;idPersona=306008&amp;webType=Normale&amp;http_referer=https://portale.intra.camera.it/portal/porta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2015-12-22T08:59:00Z</dcterms:created>
  <dcterms:modified xsi:type="dcterms:W3CDTF">2015-12-22T09:00:00Z</dcterms:modified>
</cp:coreProperties>
</file>