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753" w:rsidRPr="00990753" w:rsidRDefault="00990753" w:rsidP="00990753">
      <w:pPr>
        <w:spacing w:after="0" w:line="240" w:lineRule="auto"/>
        <w:jc w:val="center"/>
        <w:rPr>
          <w:rFonts w:ascii="Arial" w:eastAsia="Times New Roman" w:hAnsi="Arial" w:cs="Arial"/>
          <w:b/>
          <w:bCs/>
          <w:color w:val="000000"/>
          <w:sz w:val="15"/>
          <w:szCs w:val="15"/>
          <w:lang w:eastAsia="it-IT"/>
        </w:rPr>
      </w:pPr>
      <w:r w:rsidRPr="00990753">
        <w:rPr>
          <w:rFonts w:ascii="Arial" w:eastAsia="Times New Roman" w:hAnsi="Arial" w:cs="Arial"/>
          <w:b/>
          <w:bCs/>
          <w:color w:val="000000"/>
          <w:sz w:val="15"/>
          <w:szCs w:val="15"/>
          <w:lang w:eastAsia="it-IT"/>
        </w:rPr>
        <w:t>Atto Camera</w:t>
      </w:r>
      <w:r w:rsidRPr="00990753">
        <w:rPr>
          <w:rFonts w:ascii="Arial" w:eastAsia="Times New Roman" w:hAnsi="Arial" w:cs="Arial"/>
          <w:b/>
          <w:bCs/>
          <w:color w:val="000000"/>
          <w:sz w:val="15"/>
          <w:szCs w:val="15"/>
          <w:lang w:eastAsia="it-IT"/>
        </w:rPr>
        <w:br/>
        <w:t>Interpellanza urgente 2-01411</w:t>
      </w:r>
    </w:p>
    <w:p w:rsidR="00990753" w:rsidRPr="00990753" w:rsidRDefault="00990753" w:rsidP="00990753">
      <w:pPr>
        <w:spacing w:after="0" w:line="240" w:lineRule="auto"/>
        <w:jc w:val="center"/>
        <w:rPr>
          <w:rFonts w:ascii="Arial" w:eastAsia="Times New Roman" w:hAnsi="Arial" w:cs="Arial"/>
          <w:color w:val="000000"/>
          <w:sz w:val="15"/>
          <w:szCs w:val="15"/>
          <w:lang w:eastAsia="it-IT"/>
        </w:rPr>
      </w:pPr>
      <w:r w:rsidRPr="00990753">
        <w:rPr>
          <w:rFonts w:ascii="Arial" w:eastAsia="Times New Roman" w:hAnsi="Arial" w:cs="Arial"/>
          <w:color w:val="000000"/>
          <w:sz w:val="15"/>
          <w:szCs w:val="15"/>
          <w:lang w:eastAsia="it-IT"/>
        </w:rPr>
        <w:t>presentato da</w:t>
      </w:r>
    </w:p>
    <w:p w:rsidR="00990753" w:rsidRPr="00990753" w:rsidRDefault="00990753" w:rsidP="00990753">
      <w:pPr>
        <w:spacing w:after="0" w:line="240" w:lineRule="auto"/>
        <w:jc w:val="center"/>
        <w:rPr>
          <w:rFonts w:ascii="Arial" w:eastAsia="Times New Roman" w:hAnsi="Arial" w:cs="Arial"/>
          <w:b/>
          <w:bCs/>
          <w:color w:val="000000"/>
          <w:sz w:val="15"/>
          <w:szCs w:val="15"/>
          <w:lang w:eastAsia="it-IT"/>
        </w:rPr>
      </w:pPr>
      <w:r w:rsidRPr="00990753">
        <w:rPr>
          <w:rFonts w:ascii="Arial" w:eastAsia="Times New Roman" w:hAnsi="Arial" w:cs="Arial"/>
          <w:b/>
          <w:bCs/>
          <w:color w:val="000000"/>
          <w:sz w:val="15"/>
          <w:szCs w:val="15"/>
          <w:lang w:eastAsia="it-IT"/>
        </w:rPr>
        <w:t>CIMBRO Eleonora</w:t>
      </w:r>
    </w:p>
    <w:p w:rsidR="00990753" w:rsidRPr="00990753" w:rsidRDefault="00990753" w:rsidP="00990753">
      <w:pPr>
        <w:spacing w:after="0" w:line="240" w:lineRule="auto"/>
        <w:jc w:val="center"/>
        <w:rPr>
          <w:rFonts w:ascii="Arial" w:eastAsia="Times New Roman" w:hAnsi="Arial" w:cs="Arial"/>
          <w:color w:val="000000"/>
          <w:sz w:val="15"/>
          <w:szCs w:val="15"/>
          <w:lang w:eastAsia="it-IT"/>
        </w:rPr>
      </w:pPr>
      <w:r w:rsidRPr="00990753">
        <w:rPr>
          <w:rFonts w:ascii="Arial" w:eastAsia="Times New Roman" w:hAnsi="Arial" w:cs="Arial"/>
          <w:color w:val="000000"/>
          <w:sz w:val="15"/>
          <w:szCs w:val="15"/>
          <w:lang w:eastAsia="it-IT"/>
        </w:rPr>
        <w:t>testo presentato</w:t>
      </w:r>
    </w:p>
    <w:p w:rsidR="00990753" w:rsidRPr="00990753" w:rsidRDefault="00990753" w:rsidP="00990753">
      <w:pPr>
        <w:spacing w:after="0" w:line="240" w:lineRule="auto"/>
        <w:jc w:val="center"/>
        <w:rPr>
          <w:rFonts w:ascii="Arial" w:eastAsia="Times New Roman" w:hAnsi="Arial" w:cs="Arial"/>
          <w:b/>
          <w:bCs/>
          <w:color w:val="000000"/>
          <w:sz w:val="15"/>
          <w:szCs w:val="15"/>
          <w:lang w:eastAsia="it-IT"/>
        </w:rPr>
      </w:pPr>
      <w:r w:rsidRPr="00990753">
        <w:rPr>
          <w:rFonts w:ascii="Arial" w:eastAsia="Times New Roman" w:hAnsi="Arial" w:cs="Arial"/>
          <w:b/>
          <w:bCs/>
          <w:color w:val="000000"/>
          <w:sz w:val="15"/>
          <w:szCs w:val="15"/>
          <w:lang w:eastAsia="it-IT"/>
        </w:rPr>
        <w:t>Martedì 28 giugno 2016</w:t>
      </w:r>
    </w:p>
    <w:p w:rsidR="00990753" w:rsidRPr="00990753" w:rsidRDefault="00990753" w:rsidP="00990753">
      <w:pPr>
        <w:spacing w:after="0" w:line="240" w:lineRule="auto"/>
        <w:jc w:val="center"/>
        <w:rPr>
          <w:rFonts w:ascii="Arial" w:eastAsia="Times New Roman" w:hAnsi="Arial" w:cs="Arial"/>
          <w:color w:val="000000"/>
          <w:sz w:val="15"/>
          <w:szCs w:val="15"/>
          <w:lang w:eastAsia="it-IT"/>
        </w:rPr>
      </w:pPr>
      <w:r w:rsidRPr="00990753">
        <w:rPr>
          <w:rFonts w:ascii="Arial" w:eastAsia="Times New Roman" w:hAnsi="Arial" w:cs="Arial"/>
          <w:color w:val="000000"/>
          <w:sz w:val="15"/>
          <w:szCs w:val="15"/>
          <w:lang w:eastAsia="it-IT"/>
        </w:rPr>
        <w:t>modificato</w:t>
      </w:r>
    </w:p>
    <w:p w:rsidR="00990753" w:rsidRPr="00990753" w:rsidRDefault="00990753" w:rsidP="00990753">
      <w:pPr>
        <w:spacing w:after="0" w:line="240" w:lineRule="auto"/>
        <w:jc w:val="center"/>
        <w:rPr>
          <w:rFonts w:ascii="Arial" w:eastAsia="Times New Roman" w:hAnsi="Arial" w:cs="Arial"/>
          <w:b/>
          <w:bCs/>
          <w:color w:val="000000"/>
          <w:sz w:val="15"/>
          <w:szCs w:val="15"/>
          <w:lang w:eastAsia="it-IT"/>
        </w:rPr>
      </w:pPr>
      <w:r w:rsidRPr="00990753">
        <w:rPr>
          <w:rFonts w:ascii="Arial" w:eastAsia="Times New Roman" w:hAnsi="Arial" w:cs="Arial"/>
          <w:b/>
          <w:bCs/>
          <w:color w:val="000000"/>
          <w:sz w:val="15"/>
          <w:szCs w:val="15"/>
          <w:lang w:eastAsia="it-IT"/>
        </w:rPr>
        <w:t>Venerdì 1 luglio 2016, seduta n. 646</w:t>
      </w:r>
    </w:p>
    <w:p w:rsidR="00990753" w:rsidRPr="00990753" w:rsidRDefault="00990753" w:rsidP="00990753">
      <w:pPr>
        <w:spacing w:after="0" w:line="240" w:lineRule="auto"/>
        <w:ind w:left="240" w:right="240"/>
        <w:rPr>
          <w:rFonts w:ascii="Arial" w:eastAsia="Times New Roman" w:hAnsi="Arial" w:cs="Arial"/>
          <w:color w:val="000000"/>
          <w:sz w:val="15"/>
          <w:szCs w:val="15"/>
          <w:lang w:eastAsia="it-IT"/>
        </w:rPr>
      </w:pPr>
      <w:r w:rsidRPr="00990753">
        <w:rPr>
          <w:rFonts w:ascii="Arial" w:eastAsia="Times New Roman" w:hAnsi="Arial" w:cs="Arial"/>
          <w:color w:val="000000"/>
          <w:sz w:val="15"/>
          <w:szCs w:val="15"/>
          <w:lang w:eastAsia="it-IT"/>
        </w:rPr>
        <w:t>  I sottoscritti chiedono di interpellare</w:t>
      </w:r>
      <w:r w:rsidRPr="00990753">
        <w:rPr>
          <w:rFonts w:ascii="Arial" w:eastAsia="Times New Roman" w:hAnsi="Arial" w:cs="Arial"/>
          <w:color w:val="000000"/>
          <w:sz w:val="15"/>
          <w:lang w:eastAsia="it-IT"/>
        </w:rPr>
        <w:t> il Presidente del Consiglio dei ministri, il Ministro dello sviluppo economico, il Ministro degli affari esteri e della cooperazione internazionale</w:t>
      </w:r>
      <w:r w:rsidRPr="00990753">
        <w:rPr>
          <w:rFonts w:ascii="Arial" w:eastAsia="Times New Roman" w:hAnsi="Arial" w:cs="Arial"/>
          <w:color w:val="000000"/>
          <w:sz w:val="15"/>
          <w:szCs w:val="15"/>
          <w:lang w:eastAsia="it-IT"/>
        </w:rPr>
        <w:t>, per sapere – premesso che:</w:t>
      </w:r>
      <w:r w:rsidRPr="00990753">
        <w:rPr>
          <w:rFonts w:ascii="Arial" w:eastAsia="Times New Roman" w:hAnsi="Arial" w:cs="Arial"/>
          <w:color w:val="000000"/>
          <w:sz w:val="15"/>
          <w:lang w:eastAsia="it-IT"/>
        </w:rPr>
        <w:t> </w:t>
      </w:r>
      <w:r w:rsidRPr="00990753">
        <w:rPr>
          <w:rFonts w:ascii="Arial" w:eastAsia="Times New Roman" w:hAnsi="Arial" w:cs="Arial"/>
          <w:color w:val="000000"/>
          <w:sz w:val="15"/>
          <w:szCs w:val="15"/>
          <w:lang w:eastAsia="it-IT"/>
        </w:rPr>
        <w:br/>
        <w:t>in una recente lettera indirizzata alla Commissione europea, e nell'intervento tenuto alla Camera dei deputati il 15 giugno 2016, aventi entrambi come tema l'accordo di libero scambio e investimento recentemente negoziato tra Unione europea e Canada (</w:t>
      </w:r>
      <w:proofErr w:type="spellStart"/>
      <w:r w:rsidRPr="00990753">
        <w:rPr>
          <w:rFonts w:ascii="Arial" w:eastAsia="Times New Roman" w:hAnsi="Arial" w:cs="Arial"/>
          <w:i/>
          <w:iCs/>
          <w:color w:val="000000"/>
          <w:sz w:val="15"/>
          <w:lang w:eastAsia="it-IT"/>
        </w:rPr>
        <w:t>Comprehensive</w:t>
      </w:r>
      <w:proofErr w:type="spellEnd"/>
      <w:r w:rsidRPr="00990753">
        <w:rPr>
          <w:rFonts w:ascii="Arial" w:eastAsia="Times New Roman" w:hAnsi="Arial" w:cs="Arial"/>
          <w:i/>
          <w:iCs/>
          <w:color w:val="000000"/>
          <w:sz w:val="15"/>
          <w:lang w:eastAsia="it-IT"/>
        </w:rPr>
        <w:t xml:space="preserve"> </w:t>
      </w:r>
      <w:proofErr w:type="spellStart"/>
      <w:r w:rsidRPr="00990753">
        <w:rPr>
          <w:rFonts w:ascii="Arial" w:eastAsia="Times New Roman" w:hAnsi="Arial" w:cs="Arial"/>
          <w:i/>
          <w:iCs/>
          <w:color w:val="000000"/>
          <w:sz w:val="15"/>
          <w:lang w:eastAsia="it-IT"/>
        </w:rPr>
        <w:t>Economic</w:t>
      </w:r>
      <w:proofErr w:type="spellEnd"/>
      <w:r w:rsidRPr="00990753">
        <w:rPr>
          <w:rFonts w:ascii="Arial" w:eastAsia="Times New Roman" w:hAnsi="Arial" w:cs="Arial"/>
          <w:i/>
          <w:iCs/>
          <w:color w:val="000000"/>
          <w:sz w:val="15"/>
          <w:lang w:eastAsia="it-IT"/>
        </w:rPr>
        <w:t xml:space="preserve"> and </w:t>
      </w:r>
      <w:proofErr w:type="spellStart"/>
      <w:r w:rsidRPr="00990753">
        <w:rPr>
          <w:rFonts w:ascii="Arial" w:eastAsia="Times New Roman" w:hAnsi="Arial" w:cs="Arial"/>
          <w:i/>
          <w:iCs/>
          <w:color w:val="000000"/>
          <w:sz w:val="15"/>
          <w:lang w:eastAsia="it-IT"/>
        </w:rPr>
        <w:t>Trade</w:t>
      </w:r>
      <w:proofErr w:type="spellEnd"/>
      <w:r w:rsidRPr="00990753">
        <w:rPr>
          <w:rFonts w:ascii="Arial" w:eastAsia="Times New Roman" w:hAnsi="Arial" w:cs="Arial"/>
          <w:i/>
          <w:iCs/>
          <w:color w:val="000000"/>
          <w:sz w:val="15"/>
          <w:lang w:eastAsia="it-IT"/>
        </w:rPr>
        <w:t xml:space="preserve"> Agreement – CETA)</w:t>
      </w:r>
      <w:r w:rsidRPr="00990753">
        <w:rPr>
          <w:rFonts w:ascii="Arial" w:eastAsia="Times New Roman" w:hAnsi="Arial" w:cs="Arial"/>
          <w:color w:val="000000"/>
          <w:sz w:val="15"/>
          <w:szCs w:val="15"/>
          <w:lang w:eastAsia="it-IT"/>
        </w:rPr>
        <w:t xml:space="preserve">, il Ministro dello sviluppo economico Carlo </w:t>
      </w:r>
      <w:proofErr w:type="spellStart"/>
      <w:r w:rsidRPr="00990753">
        <w:rPr>
          <w:rFonts w:ascii="Arial" w:eastAsia="Times New Roman" w:hAnsi="Arial" w:cs="Arial"/>
          <w:color w:val="000000"/>
          <w:sz w:val="15"/>
          <w:szCs w:val="15"/>
          <w:lang w:eastAsia="it-IT"/>
        </w:rPr>
        <w:t>Calenda</w:t>
      </w:r>
      <w:proofErr w:type="spellEnd"/>
      <w:r w:rsidRPr="00990753">
        <w:rPr>
          <w:rFonts w:ascii="Arial" w:eastAsia="Times New Roman" w:hAnsi="Arial" w:cs="Arial"/>
          <w:color w:val="000000"/>
          <w:sz w:val="15"/>
          <w:szCs w:val="15"/>
          <w:lang w:eastAsia="it-IT"/>
        </w:rPr>
        <w:t xml:space="preserve"> ha dichiarato che tale trattato, ancora in attesa di ratifica, rientrerebbe nel regno della competenza esclusiva dell'Unione europea; dicendosi quindi pronto a sostenere la analoga posizione, che verrà ufficializzata all'inizio di luglio, della stessa Commissione;</w:t>
      </w:r>
      <w:r w:rsidRPr="00990753">
        <w:rPr>
          <w:rFonts w:ascii="Arial" w:eastAsia="Times New Roman" w:hAnsi="Arial" w:cs="Arial"/>
          <w:color w:val="000000"/>
          <w:sz w:val="15"/>
          <w:lang w:eastAsia="it-IT"/>
        </w:rPr>
        <w:t> </w:t>
      </w:r>
      <w:r w:rsidRPr="00990753">
        <w:rPr>
          <w:rFonts w:ascii="Arial" w:eastAsia="Times New Roman" w:hAnsi="Arial" w:cs="Arial"/>
          <w:color w:val="000000"/>
          <w:sz w:val="15"/>
          <w:szCs w:val="15"/>
          <w:lang w:eastAsia="it-IT"/>
        </w:rPr>
        <w:br/>
        <w:t>secondo tale tesi, tale trattato non sarebbe considerato un accordo internazionale «misto», configurazione che comporterebbe la necessità di sottoporre al processo di successiva ratifica anche i Parlamenti di tutti gli stati membri; in assenza di tale configurazione la sua adozione passerebbe quindi attraverso la procedura legislativa ordinaria, vale a dire con un voto a maggioranza qualificata in seno al Consiglio, con successiva ratifica soltanto del Parlamento europeo;</w:t>
      </w:r>
      <w:r w:rsidRPr="00990753">
        <w:rPr>
          <w:rFonts w:ascii="Arial" w:eastAsia="Times New Roman" w:hAnsi="Arial" w:cs="Arial"/>
          <w:color w:val="000000"/>
          <w:sz w:val="15"/>
          <w:lang w:eastAsia="it-IT"/>
        </w:rPr>
        <w:t> </w:t>
      </w:r>
      <w:r w:rsidRPr="00990753">
        <w:rPr>
          <w:rFonts w:ascii="Arial" w:eastAsia="Times New Roman" w:hAnsi="Arial" w:cs="Arial"/>
          <w:color w:val="000000"/>
          <w:sz w:val="15"/>
          <w:szCs w:val="15"/>
          <w:lang w:eastAsia="it-IT"/>
        </w:rPr>
        <w:br/>
        <w:t>il Trattato di Lisbona ha stabilito che la politica commerciale comune sia competenza esclusiva dell'Unione europea in materia di investimenti diretti esteri (articoli 207 e 208 TFUE), a condizione che l'accordo non riguardi competenze nazionali;</w:t>
      </w:r>
      <w:r w:rsidRPr="00990753">
        <w:rPr>
          <w:rFonts w:ascii="Arial" w:eastAsia="Times New Roman" w:hAnsi="Arial" w:cs="Arial"/>
          <w:color w:val="000000"/>
          <w:sz w:val="15"/>
          <w:lang w:eastAsia="it-IT"/>
        </w:rPr>
        <w:t> </w:t>
      </w:r>
      <w:r w:rsidRPr="00990753">
        <w:rPr>
          <w:rFonts w:ascii="Arial" w:eastAsia="Times New Roman" w:hAnsi="Arial" w:cs="Arial"/>
          <w:color w:val="000000"/>
          <w:sz w:val="15"/>
          <w:szCs w:val="15"/>
          <w:lang w:eastAsia="it-IT"/>
        </w:rPr>
        <w:br/>
        <w:t>molti Stati membri hanno tuttavia contestato la competenza esclusiva dell'Unione europea, particolarmente per ciò che attiene al profilo delle risoluzioni extra ordinamento giudiziario delle controversie tra investitore e Stato;</w:t>
      </w:r>
      <w:r w:rsidRPr="00990753">
        <w:rPr>
          <w:rFonts w:ascii="Arial" w:eastAsia="Times New Roman" w:hAnsi="Arial" w:cs="Arial"/>
          <w:color w:val="000000"/>
          <w:sz w:val="15"/>
          <w:lang w:eastAsia="it-IT"/>
        </w:rPr>
        <w:t> </w:t>
      </w:r>
      <w:r w:rsidRPr="00990753">
        <w:rPr>
          <w:rFonts w:ascii="Arial" w:eastAsia="Times New Roman" w:hAnsi="Arial" w:cs="Arial"/>
          <w:color w:val="000000"/>
          <w:sz w:val="15"/>
          <w:szCs w:val="15"/>
          <w:lang w:eastAsia="it-IT"/>
        </w:rPr>
        <w:br/>
        <w:t>secondo alcuni esperti di diritto europeo tale trattato contiene, peraltro, alcuni passaggi non chiari;</w:t>
      </w:r>
      <w:r w:rsidRPr="00990753">
        <w:rPr>
          <w:rFonts w:ascii="Arial" w:eastAsia="Times New Roman" w:hAnsi="Arial" w:cs="Arial"/>
          <w:color w:val="000000"/>
          <w:sz w:val="15"/>
          <w:lang w:eastAsia="it-IT"/>
        </w:rPr>
        <w:t> </w:t>
      </w:r>
      <w:r w:rsidRPr="00990753">
        <w:rPr>
          <w:rFonts w:ascii="Arial" w:eastAsia="Times New Roman" w:hAnsi="Arial" w:cs="Arial"/>
          <w:color w:val="000000"/>
          <w:sz w:val="15"/>
          <w:szCs w:val="15"/>
          <w:lang w:eastAsia="it-IT"/>
        </w:rPr>
        <w:br/>
        <w:t>gli accordi di libero scambio pur rientrando nella competenza esclusiva dell'Unione europea – in quanto espressione della politica commerciale comune – per contro, nel corso dei negoziati finiscono per affrontare materie diverse che investono competenze concorrenti tra Unione europea e Stati membri (come servizi, trasporti, tutela degli investitori, sistemi giudiziali arbitrali, e altro) divenendo pertanto accordi di natura mista;</w:t>
      </w:r>
      <w:r w:rsidRPr="00990753">
        <w:rPr>
          <w:rFonts w:ascii="Arial" w:eastAsia="Times New Roman" w:hAnsi="Arial" w:cs="Arial"/>
          <w:color w:val="000000"/>
          <w:sz w:val="15"/>
          <w:lang w:eastAsia="it-IT"/>
        </w:rPr>
        <w:t> </w:t>
      </w:r>
      <w:r w:rsidRPr="00990753">
        <w:rPr>
          <w:rFonts w:ascii="Arial" w:eastAsia="Times New Roman" w:hAnsi="Arial" w:cs="Arial"/>
          <w:color w:val="000000"/>
          <w:sz w:val="15"/>
          <w:szCs w:val="15"/>
          <w:lang w:eastAsia="it-IT"/>
        </w:rPr>
        <w:br/>
        <w:t>in virtù di tale circostanza i presidenti di 21 commissioni parlamentari di Parlamenti nazionali si sono fatti portavoce dell'opportunità di considerare tali accordi (sia TTIP che CETA) una volta conclusi, di natura «mista» e quindi da sottoporre alla ratifica dei Parlamenti nazionali – tesi argomentata con lettera del 25 giugno del 2011 indirizzata al commissario europeo allora competente;</w:t>
      </w:r>
      <w:r w:rsidRPr="00990753">
        <w:rPr>
          <w:rFonts w:ascii="Arial" w:eastAsia="Times New Roman" w:hAnsi="Arial" w:cs="Arial"/>
          <w:color w:val="000000"/>
          <w:sz w:val="15"/>
          <w:lang w:eastAsia="it-IT"/>
        </w:rPr>
        <w:t> </w:t>
      </w:r>
      <w:r w:rsidRPr="00990753">
        <w:rPr>
          <w:rFonts w:ascii="Arial" w:eastAsia="Times New Roman" w:hAnsi="Arial" w:cs="Arial"/>
          <w:color w:val="000000"/>
          <w:sz w:val="15"/>
          <w:szCs w:val="15"/>
          <w:lang w:eastAsia="it-IT"/>
        </w:rPr>
        <w:br/>
        <w:t xml:space="preserve">anche le conclusioni della Conferenza dei presidenti dei parlamenti dell'Unione europea, tenutasi a Roma il 20 e 21 aprile 2015, hanno sottolineato il ruolo dei parlamenti nazionali in particolar modo nell'ambito dei negoziati sui trattati internazionali, in considerazione del loro impatto sulla vita dei cittadini, dei consumatori, dei lavoratori, delle imprese e del particolare interesse dimostrato dalla società civile per i negoziati in corso, in favore di un maggiore accesso alle informazioni per meglio esprimere i propri orientamenti. In tale direzione rileva anche l'intervento della stessa commissaria </w:t>
      </w:r>
      <w:proofErr w:type="spellStart"/>
      <w:r w:rsidRPr="00990753">
        <w:rPr>
          <w:rFonts w:ascii="Arial" w:eastAsia="Times New Roman" w:hAnsi="Arial" w:cs="Arial"/>
          <w:color w:val="000000"/>
          <w:sz w:val="15"/>
          <w:szCs w:val="15"/>
          <w:lang w:eastAsia="it-IT"/>
        </w:rPr>
        <w:t>Malmstrom</w:t>
      </w:r>
      <w:proofErr w:type="spellEnd"/>
      <w:r w:rsidRPr="00990753">
        <w:rPr>
          <w:rFonts w:ascii="Arial" w:eastAsia="Times New Roman" w:hAnsi="Arial" w:cs="Arial"/>
          <w:color w:val="000000"/>
          <w:sz w:val="15"/>
          <w:szCs w:val="15"/>
          <w:lang w:eastAsia="it-IT"/>
        </w:rPr>
        <w:t xml:space="preserve"> (1o giugno 2015 alla </w:t>
      </w:r>
      <w:proofErr w:type="spellStart"/>
      <w:r w:rsidRPr="00990753">
        <w:rPr>
          <w:rFonts w:ascii="Arial" w:eastAsia="Times New Roman" w:hAnsi="Arial" w:cs="Arial"/>
          <w:color w:val="000000"/>
          <w:sz w:val="15"/>
          <w:szCs w:val="15"/>
          <w:lang w:eastAsia="it-IT"/>
        </w:rPr>
        <w:t>Cosac</w:t>
      </w:r>
      <w:proofErr w:type="spellEnd"/>
      <w:r w:rsidRPr="00990753">
        <w:rPr>
          <w:rFonts w:ascii="Arial" w:eastAsia="Times New Roman" w:hAnsi="Arial" w:cs="Arial"/>
          <w:color w:val="000000"/>
          <w:sz w:val="15"/>
          <w:szCs w:val="15"/>
          <w:lang w:eastAsia="it-IT"/>
        </w:rPr>
        <w:t xml:space="preserve"> di Riga) laddove ha affermato che il ruolo dei parlamenti nazionali diventa ancora più cruciale nella definizione della politica commerciale della Unione europea;</w:t>
      </w:r>
      <w:r w:rsidRPr="00990753">
        <w:rPr>
          <w:rFonts w:ascii="Arial" w:eastAsia="Times New Roman" w:hAnsi="Arial" w:cs="Arial"/>
          <w:color w:val="000000"/>
          <w:sz w:val="15"/>
          <w:lang w:eastAsia="it-IT"/>
        </w:rPr>
        <w:t> </w:t>
      </w:r>
      <w:r w:rsidRPr="00990753">
        <w:rPr>
          <w:rFonts w:ascii="Arial" w:eastAsia="Times New Roman" w:hAnsi="Arial" w:cs="Arial"/>
          <w:color w:val="000000"/>
          <w:sz w:val="15"/>
          <w:szCs w:val="15"/>
          <w:lang w:eastAsia="it-IT"/>
        </w:rPr>
        <w:br/>
        <w:t>inoltre, alcuni parlamenti nazionali facenti parte dell'Unione europea (Francia, Lussemburgo, Belgio/</w:t>
      </w:r>
      <w:proofErr w:type="spellStart"/>
      <w:r w:rsidRPr="00990753">
        <w:rPr>
          <w:rFonts w:ascii="Arial" w:eastAsia="Times New Roman" w:hAnsi="Arial" w:cs="Arial"/>
          <w:color w:val="000000"/>
          <w:sz w:val="15"/>
          <w:szCs w:val="15"/>
          <w:lang w:eastAsia="it-IT"/>
        </w:rPr>
        <w:t>Vallonia</w:t>
      </w:r>
      <w:proofErr w:type="spellEnd"/>
      <w:r w:rsidRPr="00990753">
        <w:rPr>
          <w:rFonts w:ascii="Arial" w:eastAsia="Times New Roman" w:hAnsi="Arial" w:cs="Arial"/>
          <w:color w:val="000000"/>
          <w:sz w:val="15"/>
          <w:szCs w:val="15"/>
          <w:lang w:eastAsia="it-IT"/>
        </w:rPr>
        <w:t>, Paesi Bassi) hanno recentemente approvato risoluzioni in cui chiedono che il CETA sia ratificato anche a livello nazionale, posizione ribadita dal Presidente del partito socialdemocratico tedesco (</w:t>
      </w:r>
      <w:proofErr w:type="spellStart"/>
      <w:r w:rsidRPr="00990753">
        <w:rPr>
          <w:rFonts w:ascii="Arial" w:eastAsia="Times New Roman" w:hAnsi="Arial" w:cs="Arial"/>
          <w:color w:val="000000"/>
          <w:sz w:val="15"/>
          <w:szCs w:val="15"/>
          <w:lang w:eastAsia="it-IT"/>
        </w:rPr>
        <w:t>Spd</w:t>
      </w:r>
      <w:proofErr w:type="spellEnd"/>
      <w:r w:rsidRPr="00990753">
        <w:rPr>
          <w:rFonts w:ascii="Arial" w:eastAsia="Times New Roman" w:hAnsi="Arial" w:cs="Arial"/>
          <w:color w:val="000000"/>
          <w:sz w:val="15"/>
          <w:szCs w:val="15"/>
          <w:lang w:eastAsia="it-IT"/>
        </w:rPr>
        <w:t xml:space="preserve">) </w:t>
      </w:r>
      <w:proofErr w:type="spellStart"/>
      <w:r w:rsidRPr="00990753">
        <w:rPr>
          <w:rFonts w:ascii="Arial" w:eastAsia="Times New Roman" w:hAnsi="Arial" w:cs="Arial"/>
          <w:color w:val="000000"/>
          <w:sz w:val="15"/>
          <w:szCs w:val="15"/>
          <w:lang w:eastAsia="it-IT"/>
        </w:rPr>
        <w:t>Sigmar</w:t>
      </w:r>
      <w:proofErr w:type="spellEnd"/>
      <w:r w:rsidRPr="00990753">
        <w:rPr>
          <w:rFonts w:ascii="Arial" w:eastAsia="Times New Roman" w:hAnsi="Arial" w:cs="Arial"/>
          <w:color w:val="000000"/>
          <w:sz w:val="15"/>
          <w:szCs w:val="15"/>
          <w:lang w:eastAsia="it-IT"/>
        </w:rPr>
        <w:t xml:space="preserve"> Gabriel;</w:t>
      </w:r>
      <w:r w:rsidRPr="00990753">
        <w:rPr>
          <w:rFonts w:ascii="Arial" w:eastAsia="Times New Roman" w:hAnsi="Arial" w:cs="Arial"/>
          <w:color w:val="000000"/>
          <w:sz w:val="15"/>
          <w:lang w:eastAsia="it-IT"/>
        </w:rPr>
        <w:t> </w:t>
      </w:r>
      <w:r w:rsidRPr="00990753">
        <w:rPr>
          <w:rFonts w:ascii="Arial" w:eastAsia="Times New Roman" w:hAnsi="Arial" w:cs="Arial"/>
          <w:color w:val="000000"/>
          <w:sz w:val="15"/>
          <w:szCs w:val="15"/>
          <w:lang w:eastAsia="it-IT"/>
        </w:rPr>
        <w:br/>
        <w:t>in base a quanto previsto dall'articolo 218 del Trattato di Lisbona la questione può essere adita davanti alla Corte di giustizia europea da parte del Consiglio, Commissione, Parlamento europeo o da Stati membri ed è verosimile che ciò possa avvenire da parte degli Stati membri. A questo proposito giova ricordare che in occasione del trattato siglato con Singapore nel 2014, di analoghe fattispecie, la Commissione ha sollevato la questione presso la Corte di Lussemburgo, il cui responso è atteso per il prossimo luglio –:</w:t>
      </w:r>
      <w:r w:rsidRPr="00990753">
        <w:rPr>
          <w:rFonts w:ascii="Arial" w:eastAsia="Times New Roman" w:hAnsi="Arial" w:cs="Arial"/>
          <w:color w:val="000000"/>
          <w:sz w:val="15"/>
          <w:lang w:eastAsia="it-IT"/>
        </w:rPr>
        <w:t> </w:t>
      </w:r>
      <w:r w:rsidRPr="00990753">
        <w:rPr>
          <w:rFonts w:ascii="Arial" w:eastAsia="Times New Roman" w:hAnsi="Arial" w:cs="Arial"/>
          <w:color w:val="000000"/>
          <w:sz w:val="15"/>
          <w:szCs w:val="15"/>
          <w:lang w:eastAsia="it-IT"/>
        </w:rPr>
        <w:br/>
        <w:t>se non si ritenga utile tener conto delle diverse tesi che stanno animando il dibattito nell'ambito di numerosi Stati dell'Unione europea, in ragione delle implicazioni politiche ed economiche connesse agli accordi commerciali di libero scambio sui medesimi Paesi, e se non si ritenga di dover chiarire le motivazioni, circostanziate anche sotto il profilo giuridico, che stanno spingendo ad escludere la partecipazione delle Camere al processo di adesione e ratifica di un accordo commerciale europeo dalla portata non irrilevante per gli interessi e le esigenze dei cittadini, dei consumatori e delle imprese;</w:t>
      </w:r>
      <w:r w:rsidRPr="00990753">
        <w:rPr>
          <w:rFonts w:ascii="Arial" w:eastAsia="Times New Roman" w:hAnsi="Arial" w:cs="Arial"/>
          <w:color w:val="000000"/>
          <w:sz w:val="15"/>
          <w:lang w:eastAsia="it-IT"/>
        </w:rPr>
        <w:t> </w:t>
      </w:r>
      <w:r w:rsidRPr="00990753">
        <w:rPr>
          <w:rFonts w:ascii="Arial" w:eastAsia="Times New Roman" w:hAnsi="Arial" w:cs="Arial"/>
          <w:color w:val="000000"/>
          <w:sz w:val="15"/>
          <w:szCs w:val="15"/>
          <w:lang w:eastAsia="it-IT"/>
        </w:rPr>
        <w:br/>
        <w:t>se il Governo non ritenga importante, circa le politiche europee relative al commercio internazionale, sostenere la necessità di una procedura trasparente, partecipata e democratica anche per il CETA – analogamente a quanto previsto e appoggiato dallo stesso Esecutivo nel caso del TTIP – in favore dell'inclusione e del coinvolgimento attivo dei ventotto Stati membri.</w:t>
      </w:r>
      <w:r w:rsidRPr="00990753">
        <w:rPr>
          <w:rFonts w:ascii="Arial" w:eastAsia="Times New Roman" w:hAnsi="Arial" w:cs="Arial"/>
          <w:color w:val="000000"/>
          <w:sz w:val="15"/>
          <w:lang w:eastAsia="it-IT"/>
        </w:rPr>
        <w:t> </w:t>
      </w:r>
      <w:r w:rsidRPr="00990753">
        <w:rPr>
          <w:rFonts w:ascii="Arial" w:eastAsia="Times New Roman" w:hAnsi="Arial" w:cs="Arial"/>
          <w:color w:val="000000"/>
          <w:sz w:val="15"/>
          <w:szCs w:val="15"/>
          <w:lang w:eastAsia="it-IT"/>
        </w:rPr>
        <w:br/>
        <w:t>(2-01411) «</w:t>
      </w:r>
      <w:bookmarkStart w:id="0" w:name="idAnagrafe.306196"/>
      <w:r w:rsidRPr="00990753">
        <w:rPr>
          <w:rFonts w:ascii="Arial" w:eastAsia="Times New Roman" w:hAnsi="Arial" w:cs="Arial"/>
          <w:color w:val="4D5D96"/>
          <w:sz w:val="15"/>
          <w:szCs w:val="15"/>
          <w:lang w:eastAsia="it-IT"/>
        </w:rPr>
        <w:t>Cimbro</w:t>
      </w:r>
      <w:bookmarkEnd w:id="0"/>
      <w:r w:rsidRPr="00990753">
        <w:rPr>
          <w:rFonts w:ascii="Arial" w:eastAsia="Times New Roman" w:hAnsi="Arial" w:cs="Arial"/>
          <w:color w:val="000000"/>
          <w:sz w:val="15"/>
          <w:szCs w:val="15"/>
          <w:lang w:eastAsia="it-IT"/>
        </w:rPr>
        <w:t>,</w:t>
      </w:r>
      <w:r w:rsidRPr="00990753">
        <w:rPr>
          <w:rFonts w:ascii="Arial" w:eastAsia="Times New Roman" w:hAnsi="Arial" w:cs="Arial"/>
          <w:color w:val="000000"/>
          <w:sz w:val="15"/>
          <w:lang w:eastAsia="it-IT"/>
        </w:rPr>
        <w:t> </w:t>
      </w:r>
      <w:bookmarkStart w:id="1" w:name="idAnagrafe.301532"/>
      <w:r w:rsidRPr="00990753">
        <w:rPr>
          <w:rFonts w:ascii="Arial" w:eastAsia="Times New Roman" w:hAnsi="Arial" w:cs="Arial"/>
          <w:color w:val="4D5D96"/>
          <w:sz w:val="15"/>
          <w:szCs w:val="15"/>
          <w:lang w:eastAsia="it-IT"/>
        </w:rPr>
        <w:t>Damiano</w:t>
      </w:r>
      <w:bookmarkEnd w:id="1"/>
      <w:r w:rsidRPr="00990753">
        <w:rPr>
          <w:rFonts w:ascii="Arial" w:eastAsia="Times New Roman" w:hAnsi="Arial" w:cs="Arial"/>
          <w:color w:val="000000"/>
          <w:sz w:val="15"/>
          <w:szCs w:val="15"/>
          <w:lang w:eastAsia="it-IT"/>
        </w:rPr>
        <w:t>,</w:t>
      </w:r>
      <w:r w:rsidRPr="00990753">
        <w:rPr>
          <w:rFonts w:ascii="Arial" w:eastAsia="Times New Roman" w:hAnsi="Arial" w:cs="Arial"/>
          <w:color w:val="000000"/>
          <w:sz w:val="15"/>
          <w:lang w:eastAsia="it-IT"/>
        </w:rPr>
        <w:t> </w:t>
      </w:r>
      <w:bookmarkStart w:id="2" w:name="idAnagrafe.305806"/>
      <w:r w:rsidRPr="00990753">
        <w:rPr>
          <w:rFonts w:ascii="Arial" w:eastAsia="Times New Roman" w:hAnsi="Arial" w:cs="Arial"/>
          <w:color w:val="4D5D96"/>
          <w:sz w:val="15"/>
          <w:szCs w:val="15"/>
          <w:lang w:eastAsia="it-IT"/>
        </w:rPr>
        <w:t>Fassina</w:t>
      </w:r>
      <w:bookmarkEnd w:id="2"/>
      <w:r w:rsidRPr="00990753">
        <w:rPr>
          <w:rFonts w:ascii="Arial" w:eastAsia="Times New Roman" w:hAnsi="Arial" w:cs="Arial"/>
          <w:color w:val="000000"/>
          <w:sz w:val="15"/>
          <w:szCs w:val="15"/>
          <w:lang w:eastAsia="it-IT"/>
        </w:rPr>
        <w:t>,</w:t>
      </w:r>
      <w:r w:rsidRPr="00990753">
        <w:rPr>
          <w:rFonts w:ascii="Arial" w:eastAsia="Times New Roman" w:hAnsi="Arial" w:cs="Arial"/>
          <w:color w:val="000000"/>
          <w:sz w:val="15"/>
          <w:lang w:eastAsia="it-IT"/>
        </w:rPr>
        <w:t> </w:t>
      </w:r>
      <w:bookmarkStart w:id="3" w:name="idAnagrafe.304901"/>
      <w:r w:rsidRPr="00990753">
        <w:rPr>
          <w:rFonts w:ascii="Arial" w:eastAsia="Times New Roman" w:hAnsi="Arial" w:cs="Arial"/>
          <w:color w:val="4D5D96"/>
          <w:sz w:val="15"/>
          <w:szCs w:val="15"/>
          <w:lang w:eastAsia="it-IT"/>
        </w:rPr>
        <w:t>Albini</w:t>
      </w:r>
      <w:bookmarkEnd w:id="3"/>
      <w:r w:rsidRPr="00990753">
        <w:rPr>
          <w:rFonts w:ascii="Arial" w:eastAsia="Times New Roman" w:hAnsi="Arial" w:cs="Arial"/>
          <w:color w:val="000000"/>
          <w:sz w:val="15"/>
          <w:szCs w:val="15"/>
          <w:lang w:eastAsia="it-IT"/>
        </w:rPr>
        <w:t>,</w:t>
      </w:r>
      <w:r w:rsidRPr="00990753">
        <w:rPr>
          <w:rFonts w:ascii="Arial" w:eastAsia="Times New Roman" w:hAnsi="Arial" w:cs="Arial"/>
          <w:color w:val="000000"/>
          <w:sz w:val="15"/>
          <w:lang w:eastAsia="it-IT"/>
        </w:rPr>
        <w:t> </w:t>
      </w:r>
      <w:bookmarkStart w:id="4" w:name="idAnagrafe.306162"/>
      <w:r w:rsidRPr="00990753">
        <w:rPr>
          <w:rFonts w:ascii="Arial" w:eastAsia="Times New Roman" w:hAnsi="Arial" w:cs="Arial"/>
          <w:color w:val="4D5D96"/>
          <w:sz w:val="15"/>
          <w:szCs w:val="15"/>
          <w:lang w:eastAsia="it-IT"/>
        </w:rPr>
        <w:t>Fossati</w:t>
      </w:r>
      <w:bookmarkEnd w:id="4"/>
      <w:r w:rsidRPr="00990753">
        <w:rPr>
          <w:rFonts w:ascii="Arial" w:eastAsia="Times New Roman" w:hAnsi="Arial" w:cs="Arial"/>
          <w:color w:val="000000"/>
          <w:sz w:val="15"/>
          <w:szCs w:val="15"/>
          <w:lang w:eastAsia="it-IT"/>
        </w:rPr>
        <w:t>,</w:t>
      </w:r>
      <w:r w:rsidRPr="00990753">
        <w:rPr>
          <w:rFonts w:ascii="Arial" w:eastAsia="Times New Roman" w:hAnsi="Arial" w:cs="Arial"/>
          <w:color w:val="000000"/>
          <w:sz w:val="15"/>
          <w:lang w:eastAsia="it-IT"/>
        </w:rPr>
        <w:t> </w:t>
      </w:r>
      <w:bookmarkStart w:id="5" w:name="idAnagrafe.305732"/>
      <w:r w:rsidRPr="00990753">
        <w:rPr>
          <w:rFonts w:ascii="Arial" w:eastAsia="Times New Roman" w:hAnsi="Arial" w:cs="Arial"/>
          <w:color w:val="4D5D96"/>
          <w:sz w:val="15"/>
          <w:szCs w:val="15"/>
          <w:lang w:eastAsia="it-IT"/>
        </w:rPr>
        <w:t>Terrosi</w:t>
      </w:r>
      <w:bookmarkEnd w:id="5"/>
      <w:r w:rsidRPr="00990753">
        <w:rPr>
          <w:rFonts w:ascii="Arial" w:eastAsia="Times New Roman" w:hAnsi="Arial" w:cs="Arial"/>
          <w:color w:val="000000"/>
          <w:sz w:val="15"/>
          <w:szCs w:val="15"/>
          <w:lang w:eastAsia="it-IT"/>
        </w:rPr>
        <w:t>,</w:t>
      </w:r>
      <w:r w:rsidRPr="00990753">
        <w:rPr>
          <w:rFonts w:ascii="Arial" w:eastAsia="Times New Roman" w:hAnsi="Arial" w:cs="Arial"/>
          <w:color w:val="000000"/>
          <w:sz w:val="15"/>
          <w:lang w:eastAsia="it-IT"/>
        </w:rPr>
        <w:t> </w:t>
      </w:r>
      <w:bookmarkStart w:id="6" w:name="idAnagrafe.305652"/>
      <w:r w:rsidRPr="00990753">
        <w:rPr>
          <w:rFonts w:ascii="Arial" w:eastAsia="Times New Roman" w:hAnsi="Arial" w:cs="Arial"/>
          <w:color w:val="4D5D96"/>
          <w:sz w:val="15"/>
          <w:szCs w:val="15"/>
          <w:lang w:eastAsia="it-IT"/>
        </w:rPr>
        <w:t>Mognato</w:t>
      </w:r>
      <w:bookmarkEnd w:id="6"/>
      <w:r w:rsidRPr="00990753">
        <w:rPr>
          <w:rFonts w:ascii="Arial" w:eastAsia="Times New Roman" w:hAnsi="Arial" w:cs="Arial"/>
          <w:color w:val="000000"/>
          <w:sz w:val="15"/>
          <w:szCs w:val="15"/>
          <w:lang w:eastAsia="it-IT"/>
        </w:rPr>
        <w:t>,</w:t>
      </w:r>
      <w:r w:rsidRPr="00990753">
        <w:rPr>
          <w:rFonts w:ascii="Arial" w:eastAsia="Times New Roman" w:hAnsi="Arial" w:cs="Arial"/>
          <w:color w:val="000000"/>
          <w:sz w:val="15"/>
          <w:lang w:eastAsia="it-IT"/>
        </w:rPr>
        <w:t> </w:t>
      </w:r>
      <w:bookmarkStart w:id="7" w:name="idAnagrafe.305634"/>
      <w:r w:rsidRPr="00990753">
        <w:rPr>
          <w:rFonts w:ascii="Arial" w:eastAsia="Times New Roman" w:hAnsi="Arial" w:cs="Arial"/>
          <w:color w:val="4D5D96"/>
          <w:sz w:val="15"/>
          <w:szCs w:val="15"/>
          <w:lang w:eastAsia="it-IT"/>
        </w:rPr>
        <w:t>Zoggia</w:t>
      </w:r>
      <w:bookmarkEnd w:id="7"/>
      <w:r w:rsidRPr="00990753">
        <w:rPr>
          <w:rFonts w:ascii="Arial" w:eastAsia="Times New Roman" w:hAnsi="Arial" w:cs="Arial"/>
          <w:color w:val="000000"/>
          <w:sz w:val="15"/>
          <w:szCs w:val="15"/>
          <w:lang w:eastAsia="it-IT"/>
        </w:rPr>
        <w:t>,</w:t>
      </w:r>
      <w:r w:rsidRPr="00990753">
        <w:rPr>
          <w:rFonts w:ascii="Arial" w:eastAsia="Times New Roman" w:hAnsi="Arial" w:cs="Arial"/>
          <w:color w:val="000000"/>
          <w:sz w:val="15"/>
          <w:lang w:eastAsia="it-IT"/>
        </w:rPr>
        <w:t> </w:t>
      </w:r>
      <w:bookmarkStart w:id="8" w:name="idAnagrafe.302812"/>
      <w:r w:rsidRPr="00990753">
        <w:rPr>
          <w:rFonts w:ascii="Arial" w:eastAsia="Times New Roman" w:hAnsi="Arial" w:cs="Arial"/>
          <w:color w:val="4D5D96"/>
          <w:sz w:val="15"/>
          <w:szCs w:val="15"/>
          <w:lang w:eastAsia="it-IT"/>
        </w:rPr>
        <w:t>Bossa</w:t>
      </w:r>
      <w:bookmarkEnd w:id="8"/>
      <w:r w:rsidRPr="00990753">
        <w:rPr>
          <w:rFonts w:ascii="Arial" w:eastAsia="Times New Roman" w:hAnsi="Arial" w:cs="Arial"/>
          <w:color w:val="000000"/>
          <w:sz w:val="15"/>
          <w:szCs w:val="15"/>
          <w:lang w:eastAsia="it-IT"/>
        </w:rPr>
        <w:t>,</w:t>
      </w:r>
      <w:r w:rsidRPr="00990753">
        <w:rPr>
          <w:rFonts w:ascii="Arial" w:eastAsia="Times New Roman" w:hAnsi="Arial" w:cs="Arial"/>
          <w:color w:val="000000"/>
          <w:sz w:val="15"/>
          <w:lang w:eastAsia="it-IT"/>
        </w:rPr>
        <w:t> </w:t>
      </w:r>
      <w:bookmarkStart w:id="9" w:name="idAnagrafe.306104"/>
      <w:r w:rsidRPr="00990753">
        <w:rPr>
          <w:rFonts w:ascii="Arial" w:eastAsia="Times New Roman" w:hAnsi="Arial" w:cs="Arial"/>
          <w:color w:val="4D5D96"/>
          <w:sz w:val="15"/>
          <w:szCs w:val="15"/>
          <w:lang w:eastAsia="it-IT"/>
        </w:rPr>
        <w:t>Zappulla</w:t>
      </w:r>
      <w:bookmarkEnd w:id="9"/>
      <w:r w:rsidRPr="00990753">
        <w:rPr>
          <w:rFonts w:ascii="Arial" w:eastAsia="Times New Roman" w:hAnsi="Arial" w:cs="Arial"/>
          <w:color w:val="000000"/>
          <w:sz w:val="15"/>
          <w:szCs w:val="15"/>
          <w:lang w:eastAsia="it-IT"/>
        </w:rPr>
        <w:t>,</w:t>
      </w:r>
      <w:r w:rsidRPr="00990753">
        <w:rPr>
          <w:rFonts w:ascii="Arial" w:eastAsia="Times New Roman" w:hAnsi="Arial" w:cs="Arial"/>
          <w:color w:val="000000"/>
          <w:sz w:val="15"/>
          <w:lang w:eastAsia="it-IT"/>
        </w:rPr>
        <w:t> </w:t>
      </w:r>
      <w:bookmarkStart w:id="10" w:name="idAnagrafe.305840"/>
      <w:r w:rsidRPr="00990753">
        <w:rPr>
          <w:rFonts w:ascii="Arial" w:eastAsia="Times New Roman" w:hAnsi="Arial" w:cs="Arial"/>
          <w:color w:val="4D5D96"/>
          <w:sz w:val="15"/>
          <w:szCs w:val="15"/>
          <w:lang w:eastAsia="it-IT"/>
        </w:rPr>
        <w:t>Roberta Agostini</w:t>
      </w:r>
      <w:bookmarkEnd w:id="10"/>
      <w:r w:rsidRPr="00990753">
        <w:rPr>
          <w:rFonts w:ascii="Arial" w:eastAsia="Times New Roman" w:hAnsi="Arial" w:cs="Arial"/>
          <w:color w:val="000000"/>
          <w:sz w:val="15"/>
          <w:szCs w:val="15"/>
          <w:lang w:eastAsia="it-IT"/>
        </w:rPr>
        <w:t>,</w:t>
      </w:r>
      <w:r w:rsidRPr="00990753">
        <w:rPr>
          <w:rFonts w:ascii="Arial" w:eastAsia="Times New Roman" w:hAnsi="Arial" w:cs="Arial"/>
          <w:color w:val="000000"/>
          <w:sz w:val="15"/>
          <w:lang w:eastAsia="it-IT"/>
        </w:rPr>
        <w:t> </w:t>
      </w:r>
      <w:bookmarkStart w:id="11" w:name="idAnagrafe.305749"/>
      <w:proofErr w:type="spellStart"/>
      <w:r w:rsidRPr="00990753">
        <w:rPr>
          <w:rFonts w:ascii="Arial" w:eastAsia="Times New Roman" w:hAnsi="Arial" w:cs="Arial"/>
          <w:color w:val="4D5D96"/>
          <w:sz w:val="15"/>
          <w:szCs w:val="15"/>
          <w:lang w:eastAsia="it-IT"/>
        </w:rPr>
        <w:t>Lattuca</w:t>
      </w:r>
      <w:bookmarkEnd w:id="11"/>
      <w:proofErr w:type="spellEnd"/>
      <w:r w:rsidRPr="00990753">
        <w:rPr>
          <w:rFonts w:ascii="Arial" w:eastAsia="Times New Roman" w:hAnsi="Arial" w:cs="Arial"/>
          <w:color w:val="000000"/>
          <w:sz w:val="15"/>
          <w:szCs w:val="15"/>
          <w:lang w:eastAsia="it-IT"/>
        </w:rPr>
        <w:t>,</w:t>
      </w:r>
      <w:r w:rsidRPr="00990753">
        <w:rPr>
          <w:rFonts w:ascii="Arial" w:eastAsia="Times New Roman" w:hAnsi="Arial" w:cs="Arial"/>
          <w:color w:val="000000"/>
          <w:sz w:val="15"/>
          <w:lang w:eastAsia="it-IT"/>
        </w:rPr>
        <w:t> </w:t>
      </w:r>
      <w:bookmarkStart w:id="12" w:name="idAnagrafe.305878"/>
      <w:r w:rsidRPr="00990753">
        <w:rPr>
          <w:rFonts w:ascii="Arial" w:eastAsia="Times New Roman" w:hAnsi="Arial" w:cs="Arial"/>
          <w:color w:val="4D5D96"/>
          <w:sz w:val="15"/>
          <w:szCs w:val="15"/>
          <w:lang w:eastAsia="it-IT"/>
        </w:rPr>
        <w:t>Giorgio Piccolo</w:t>
      </w:r>
      <w:bookmarkEnd w:id="12"/>
      <w:r w:rsidRPr="00990753">
        <w:rPr>
          <w:rFonts w:ascii="Arial" w:eastAsia="Times New Roman" w:hAnsi="Arial" w:cs="Arial"/>
          <w:color w:val="000000"/>
          <w:sz w:val="15"/>
          <w:szCs w:val="15"/>
          <w:lang w:eastAsia="it-IT"/>
        </w:rPr>
        <w:t>,</w:t>
      </w:r>
      <w:r w:rsidRPr="00990753">
        <w:rPr>
          <w:rFonts w:ascii="Arial" w:eastAsia="Times New Roman" w:hAnsi="Arial" w:cs="Arial"/>
          <w:color w:val="000000"/>
          <w:sz w:val="15"/>
          <w:lang w:eastAsia="it-IT"/>
        </w:rPr>
        <w:t> </w:t>
      </w:r>
      <w:bookmarkStart w:id="13" w:name="idAnagrafe.305567"/>
      <w:proofErr w:type="spellStart"/>
      <w:r w:rsidRPr="00990753">
        <w:rPr>
          <w:rFonts w:ascii="Arial" w:eastAsia="Times New Roman" w:hAnsi="Arial" w:cs="Arial"/>
          <w:color w:val="4D5D96"/>
          <w:sz w:val="15"/>
          <w:szCs w:val="15"/>
          <w:lang w:eastAsia="it-IT"/>
        </w:rPr>
        <w:t>Giorgis</w:t>
      </w:r>
      <w:bookmarkEnd w:id="13"/>
      <w:proofErr w:type="spellEnd"/>
      <w:r w:rsidRPr="00990753">
        <w:rPr>
          <w:rFonts w:ascii="Arial" w:eastAsia="Times New Roman" w:hAnsi="Arial" w:cs="Arial"/>
          <w:color w:val="000000"/>
          <w:sz w:val="15"/>
          <w:szCs w:val="15"/>
          <w:lang w:eastAsia="it-IT"/>
        </w:rPr>
        <w:t>,</w:t>
      </w:r>
      <w:r w:rsidRPr="00990753">
        <w:rPr>
          <w:rFonts w:ascii="Arial" w:eastAsia="Times New Roman" w:hAnsi="Arial" w:cs="Arial"/>
          <w:color w:val="000000"/>
          <w:sz w:val="15"/>
          <w:lang w:eastAsia="it-IT"/>
        </w:rPr>
        <w:t> </w:t>
      </w:r>
      <w:bookmarkStart w:id="14" w:name="idAnagrafe.302862"/>
      <w:proofErr w:type="spellStart"/>
      <w:r w:rsidRPr="00990753">
        <w:rPr>
          <w:rFonts w:ascii="Arial" w:eastAsia="Times New Roman" w:hAnsi="Arial" w:cs="Arial"/>
          <w:color w:val="4D5D96"/>
          <w:sz w:val="15"/>
          <w:szCs w:val="15"/>
          <w:lang w:eastAsia="it-IT"/>
        </w:rPr>
        <w:t>Gnecchi</w:t>
      </w:r>
      <w:bookmarkEnd w:id="14"/>
      <w:proofErr w:type="spellEnd"/>
      <w:r w:rsidRPr="00990753">
        <w:rPr>
          <w:rFonts w:ascii="Arial" w:eastAsia="Times New Roman" w:hAnsi="Arial" w:cs="Arial"/>
          <w:color w:val="000000"/>
          <w:sz w:val="15"/>
          <w:szCs w:val="15"/>
          <w:lang w:eastAsia="it-IT"/>
        </w:rPr>
        <w:t>,</w:t>
      </w:r>
      <w:bookmarkStart w:id="15" w:name="idAnagrafe.301478"/>
      <w:proofErr w:type="spellStart"/>
      <w:r w:rsidRPr="00990753">
        <w:rPr>
          <w:rFonts w:ascii="Arial" w:eastAsia="Times New Roman" w:hAnsi="Arial" w:cs="Arial"/>
          <w:color w:val="4D5D96"/>
          <w:sz w:val="15"/>
          <w:szCs w:val="15"/>
          <w:lang w:eastAsia="it-IT"/>
        </w:rPr>
        <w:t>Capodicasa</w:t>
      </w:r>
      <w:bookmarkEnd w:id="15"/>
      <w:proofErr w:type="spellEnd"/>
      <w:r w:rsidRPr="00990753">
        <w:rPr>
          <w:rFonts w:ascii="Arial" w:eastAsia="Times New Roman" w:hAnsi="Arial" w:cs="Arial"/>
          <w:color w:val="000000"/>
          <w:sz w:val="15"/>
          <w:szCs w:val="15"/>
          <w:lang w:eastAsia="it-IT"/>
        </w:rPr>
        <w:t>,</w:t>
      </w:r>
      <w:r w:rsidRPr="00990753">
        <w:rPr>
          <w:rFonts w:ascii="Arial" w:eastAsia="Times New Roman" w:hAnsi="Arial" w:cs="Arial"/>
          <w:color w:val="000000"/>
          <w:sz w:val="15"/>
          <w:lang w:eastAsia="it-IT"/>
        </w:rPr>
        <w:t> </w:t>
      </w:r>
      <w:bookmarkStart w:id="16" w:name="idAnagrafe.302858"/>
      <w:proofErr w:type="spellStart"/>
      <w:r w:rsidRPr="00990753">
        <w:rPr>
          <w:rFonts w:ascii="Arial" w:eastAsia="Times New Roman" w:hAnsi="Arial" w:cs="Arial"/>
          <w:color w:val="4D5D96"/>
          <w:sz w:val="15"/>
          <w:szCs w:val="15"/>
          <w:lang w:eastAsia="it-IT"/>
        </w:rPr>
        <w:t>Murer</w:t>
      </w:r>
      <w:bookmarkEnd w:id="16"/>
      <w:proofErr w:type="spellEnd"/>
      <w:r w:rsidRPr="00990753">
        <w:rPr>
          <w:rFonts w:ascii="Arial" w:eastAsia="Times New Roman" w:hAnsi="Arial" w:cs="Arial"/>
          <w:color w:val="000000"/>
          <w:sz w:val="15"/>
          <w:szCs w:val="15"/>
          <w:lang w:eastAsia="it-IT"/>
        </w:rPr>
        <w:t>,</w:t>
      </w:r>
      <w:r w:rsidRPr="00990753">
        <w:rPr>
          <w:rFonts w:ascii="Arial" w:eastAsia="Times New Roman" w:hAnsi="Arial" w:cs="Arial"/>
          <w:color w:val="000000"/>
          <w:sz w:val="15"/>
          <w:lang w:eastAsia="it-IT"/>
        </w:rPr>
        <w:t> </w:t>
      </w:r>
      <w:bookmarkStart w:id="17" w:name="idAnagrafe.306134"/>
      <w:r w:rsidRPr="00990753">
        <w:rPr>
          <w:rFonts w:ascii="Arial" w:eastAsia="Times New Roman" w:hAnsi="Arial" w:cs="Arial"/>
          <w:color w:val="4D5D96"/>
          <w:sz w:val="15"/>
          <w:szCs w:val="15"/>
          <w:lang w:eastAsia="it-IT"/>
        </w:rPr>
        <w:t xml:space="preserve">Bruno </w:t>
      </w:r>
      <w:proofErr w:type="spellStart"/>
      <w:r w:rsidRPr="00990753">
        <w:rPr>
          <w:rFonts w:ascii="Arial" w:eastAsia="Times New Roman" w:hAnsi="Arial" w:cs="Arial"/>
          <w:color w:val="4D5D96"/>
          <w:sz w:val="15"/>
          <w:szCs w:val="15"/>
          <w:lang w:eastAsia="it-IT"/>
        </w:rPr>
        <w:t>Bossio</w:t>
      </w:r>
      <w:bookmarkEnd w:id="17"/>
      <w:proofErr w:type="spellEnd"/>
      <w:r w:rsidRPr="00990753">
        <w:rPr>
          <w:rFonts w:ascii="Arial" w:eastAsia="Times New Roman" w:hAnsi="Arial" w:cs="Arial"/>
          <w:color w:val="000000"/>
          <w:sz w:val="15"/>
          <w:szCs w:val="15"/>
          <w:lang w:eastAsia="it-IT"/>
        </w:rPr>
        <w:t>,</w:t>
      </w:r>
      <w:r w:rsidRPr="00990753">
        <w:rPr>
          <w:rFonts w:ascii="Arial" w:eastAsia="Times New Roman" w:hAnsi="Arial" w:cs="Arial"/>
          <w:color w:val="000000"/>
          <w:sz w:val="15"/>
          <w:lang w:eastAsia="it-IT"/>
        </w:rPr>
        <w:t> </w:t>
      </w:r>
      <w:bookmarkStart w:id="18" w:name="idAnagrafe.305673"/>
      <w:proofErr w:type="spellStart"/>
      <w:r w:rsidRPr="00990753">
        <w:rPr>
          <w:rFonts w:ascii="Arial" w:eastAsia="Times New Roman" w:hAnsi="Arial" w:cs="Arial"/>
          <w:color w:val="4D5D96"/>
          <w:sz w:val="15"/>
          <w:szCs w:val="15"/>
          <w:lang w:eastAsia="it-IT"/>
        </w:rPr>
        <w:t>Malisani</w:t>
      </w:r>
      <w:bookmarkEnd w:id="18"/>
      <w:proofErr w:type="spellEnd"/>
      <w:r w:rsidRPr="00990753">
        <w:rPr>
          <w:rFonts w:ascii="Arial" w:eastAsia="Times New Roman" w:hAnsi="Arial" w:cs="Arial"/>
          <w:color w:val="000000"/>
          <w:sz w:val="15"/>
          <w:szCs w:val="15"/>
          <w:lang w:eastAsia="it-IT"/>
        </w:rPr>
        <w:t>,</w:t>
      </w:r>
      <w:r w:rsidRPr="00990753">
        <w:rPr>
          <w:rFonts w:ascii="Arial" w:eastAsia="Times New Roman" w:hAnsi="Arial" w:cs="Arial"/>
          <w:color w:val="000000"/>
          <w:sz w:val="15"/>
          <w:lang w:eastAsia="it-IT"/>
        </w:rPr>
        <w:t> </w:t>
      </w:r>
      <w:bookmarkStart w:id="19" w:name="idAnagrafe.305742"/>
      <w:r w:rsidRPr="00990753">
        <w:rPr>
          <w:rFonts w:ascii="Arial" w:eastAsia="Times New Roman" w:hAnsi="Arial" w:cs="Arial"/>
          <w:color w:val="4D5D96"/>
          <w:sz w:val="15"/>
          <w:szCs w:val="15"/>
          <w:lang w:eastAsia="it-IT"/>
        </w:rPr>
        <w:t>Patrizia Maestri</w:t>
      </w:r>
      <w:bookmarkEnd w:id="19"/>
      <w:r w:rsidRPr="00990753">
        <w:rPr>
          <w:rFonts w:ascii="Arial" w:eastAsia="Times New Roman" w:hAnsi="Arial" w:cs="Arial"/>
          <w:color w:val="000000"/>
          <w:sz w:val="15"/>
          <w:szCs w:val="15"/>
          <w:lang w:eastAsia="it-IT"/>
        </w:rPr>
        <w:t>,</w:t>
      </w:r>
      <w:r w:rsidRPr="00990753">
        <w:rPr>
          <w:rFonts w:ascii="Arial" w:eastAsia="Times New Roman" w:hAnsi="Arial" w:cs="Arial"/>
          <w:color w:val="000000"/>
          <w:sz w:val="15"/>
          <w:lang w:eastAsia="it-IT"/>
        </w:rPr>
        <w:t> </w:t>
      </w:r>
      <w:bookmarkStart w:id="20" w:name="idAnagrafe.306139"/>
      <w:proofErr w:type="spellStart"/>
      <w:r w:rsidRPr="00990753">
        <w:rPr>
          <w:rFonts w:ascii="Arial" w:eastAsia="Times New Roman" w:hAnsi="Arial" w:cs="Arial"/>
          <w:color w:val="4D5D96"/>
          <w:sz w:val="15"/>
          <w:szCs w:val="15"/>
          <w:lang w:eastAsia="it-IT"/>
        </w:rPr>
        <w:t>Stumpo</w:t>
      </w:r>
      <w:bookmarkEnd w:id="20"/>
      <w:proofErr w:type="spellEnd"/>
      <w:r w:rsidRPr="00990753">
        <w:rPr>
          <w:rFonts w:ascii="Arial" w:eastAsia="Times New Roman" w:hAnsi="Arial" w:cs="Arial"/>
          <w:color w:val="000000"/>
          <w:sz w:val="15"/>
          <w:szCs w:val="15"/>
          <w:lang w:eastAsia="it-IT"/>
        </w:rPr>
        <w:t>,</w:t>
      </w:r>
      <w:r w:rsidRPr="00990753">
        <w:rPr>
          <w:rFonts w:ascii="Arial" w:eastAsia="Times New Roman" w:hAnsi="Arial" w:cs="Arial"/>
          <w:color w:val="000000"/>
          <w:sz w:val="15"/>
          <w:lang w:eastAsia="it-IT"/>
        </w:rPr>
        <w:t> </w:t>
      </w:r>
      <w:bookmarkStart w:id="21" w:name="idAnagrafe.38700"/>
      <w:proofErr w:type="spellStart"/>
      <w:r w:rsidRPr="00990753">
        <w:rPr>
          <w:rFonts w:ascii="Arial" w:eastAsia="Times New Roman" w:hAnsi="Arial" w:cs="Arial"/>
          <w:color w:val="4D5D96"/>
          <w:sz w:val="15"/>
          <w:szCs w:val="15"/>
          <w:lang w:eastAsia="it-IT"/>
        </w:rPr>
        <w:t>Scanu</w:t>
      </w:r>
      <w:bookmarkEnd w:id="21"/>
      <w:proofErr w:type="spellEnd"/>
      <w:r w:rsidRPr="00990753">
        <w:rPr>
          <w:rFonts w:ascii="Arial" w:eastAsia="Times New Roman" w:hAnsi="Arial" w:cs="Arial"/>
          <w:color w:val="000000"/>
          <w:sz w:val="15"/>
          <w:szCs w:val="15"/>
          <w:lang w:eastAsia="it-IT"/>
        </w:rPr>
        <w:t>,</w:t>
      </w:r>
      <w:r w:rsidRPr="00990753">
        <w:rPr>
          <w:rFonts w:ascii="Arial" w:eastAsia="Times New Roman" w:hAnsi="Arial" w:cs="Arial"/>
          <w:color w:val="000000"/>
          <w:sz w:val="15"/>
          <w:lang w:eastAsia="it-IT"/>
        </w:rPr>
        <w:t> </w:t>
      </w:r>
      <w:bookmarkStart w:id="22" w:name="idAnagrafe.305896"/>
      <w:proofErr w:type="spellStart"/>
      <w:r w:rsidRPr="00990753">
        <w:rPr>
          <w:rFonts w:ascii="Arial" w:eastAsia="Times New Roman" w:hAnsi="Arial" w:cs="Arial"/>
          <w:color w:val="4D5D96"/>
          <w:sz w:val="15"/>
          <w:szCs w:val="15"/>
          <w:lang w:eastAsia="it-IT"/>
        </w:rPr>
        <w:t>Cassano</w:t>
      </w:r>
      <w:bookmarkEnd w:id="22"/>
      <w:proofErr w:type="spellEnd"/>
      <w:r w:rsidRPr="00990753">
        <w:rPr>
          <w:rFonts w:ascii="Arial" w:eastAsia="Times New Roman" w:hAnsi="Arial" w:cs="Arial"/>
          <w:color w:val="000000"/>
          <w:sz w:val="15"/>
          <w:szCs w:val="15"/>
          <w:lang w:eastAsia="it-IT"/>
        </w:rPr>
        <w:t>,</w:t>
      </w:r>
      <w:r w:rsidRPr="00990753">
        <w:rPr>
          <w:rFonts w:ascii="Arial" w:eastAsia="Times New Roman" w:hAnsi="Arial" w:cs="Arial"/>
          <w:color w:val="000000"/>
          <w:sz w:val="15"/>
          <w:lang w:eastAsia="it-IT"/>
        </w:rPr>
        <w:t> </w:t>
      </w:r>
      <w:bookmarkStart w:id="23" w:name="idAnagrafe.302792"/>
      <w:proofErr w:type="spellStart"/>
      <w:r w:rsidRPr="00990753">
        <w:rPr>
          <w:rFonts w:ascii="Arial" w:eastAsia="Times New Roman" w:hAnsi="Arial" w:cs="Arial"/>
          <w:color w:val="4D5D96"/>
          <w:sz w:val="15"/>
          <w:szCs w:val="15"/>
          <w:lang w:eastAsia="it-IT"/>
        </w:rPr>
        <w:t>Carella</w:t>
      </w:r>
      <w:bookmarkEnd w:id="23"/>
      <w:proofErr w:type="spellEnd"/>
      <w:r w:rsidRPr="00990753">
        <w:rPr>
          <w:rFonts w:ascii="Arial" w:eastAsia="Times New Roman" w:hAnsi="Arial" w:cs="Arial"/>
          <w:color w:val="000000"/>
          <w:sz w:val="15"/>
          <w:szCs w:val="15"/>
          <w:lang w:eastAsia="it-IT"/>
        </w:rPr>
        <w:t>,</w:t>
      </w:r>
      <w:r w:rsidRPr="00990753">
        <w:rPr>
          <w:rFonts w:ascii="Arial" w:eastAsia="Times New Roman" w:hAnsi="Arial" w:cs="Arial"/>
          <w:color w:val="000000"/>
          <w:sz w:val="15"/>
          <w:lang w:eastAsia="it-IT"/>
        </w:rPr>
        <w:t> </w:t>
      </w:r>
      <w:bookmarkStart w:id="24" w:name="idAnagrafe.305727"/>
      <w:r w:rsidRPr="00990753">
        <w:rPr>
          <w:rFonts w:ascii="Arial" w:eastAsia="Times New Roman" w:hAnsi="Arial" w:cs="Arial"/>
          <w:color w:val="4D5D96"/>
          <w:sz w:val="15"/>
          <w:szCs w:val="15"/>
          <w:lang w:eastAsia="it-IT"/>
        </w:rPr>
        <w:t>Marco Meloni</w:t>
      </w:r>
      <w:bookmarkEnd w:id="24"/>
      <w:r w:rsidRPr="00990753">
        <w:rPr>
          <w:rFonts w:ascii="Arial" w:eastAsia="Times New Roman" w:hAnsi="Arial" w:cs="Arial"/>
          <w:color w:val="000000"/>
          <w:sz w:val="15"/>
          <w:szCs w:val="15"/>
          <w:lang w:eastAsia="it-IT"/>
        </w:rPr>
        <w:t>,</w:t>
      </w:r>
      <w:r w:rsidRPr="00990753">
        <w:rPr>
          <w:rFonts w:ascii="Arial" w:eastAsia="Times New Roman" w:hAnsi="Arial" w:cs="Arial"/>
          <w:color w:val="000000"/>
          <w:sz w:val="15"/>
          <w:lang w:eastAsia="it-IT"/>
        </w:rPr>
        <w:t> </w:t>
      </w:r>
      <w:bookmarkStart w:id="25" w:name="idAnagrafe.302422"/>
      <w:r w:rsidRPr="00990753">
        <w:rPr>
          <w:rFonts w:ascii="Arial" w:eastAsia="Times New Roman" w:hAnsi="Arial" w:cs="Arial"/>
          <w:color w:val="4D5D96"/>
          <w:sz w:val="15"/>
          <w:szCs w:val="15"/>
          <w:lang w:eastAsia="it-IT"/>
        </w:rPr>
        <w:t>Cuperlo</w:t>
      </w:r>
      <w:bookmarkEnd w:id="25"/>
      <w:r w:rsidRPr="00990753">
        <w:rPr>
          <w:rFonts w:ascii="Arial" w:eastAsia="Times New Roman" w:hAnsi="Arial" w:cs="Arial"/>
          <w:color w:val="000000"/>
          <w:sz w:val="15"/>
          <w:szCs w:val="15"/>
          <w:lang w:eastAsia="it-IT"/>
        </w:rPr>
        <w:t>,</w:t>
      </w:r>
      <w:r w:rsidRPr="00990753">
        <w:rPr>
          <w:rFonts w:ascii="Arial" w:eastAsia="Times New Roman" w:hAnsi="Arial" w:cs="Arial"/>
          <w:color w:val="000000"/>
          <w:sz w:val="15"/>
          <w:lang w:eastAsia="it-IT"/>
        </w:rPr>
        <w:t> </w:t>
      </w:r>
      <w:bookmarkStart w:id="26" w:name="idAnagrafe.306170"/>
      <w:r w:rsidRPr="00990753">
        <w:rPr>
          <w:rFonts w:ascii="Arial" w:eastAsia="Times New Roman" w:hAnsi="Arial" w:cs="Arial"/>
          <w:color w:val="4D5D96"/>
          <w:sz w:val="15"/>
          <w:szCs w:val="15"/>
          <w:lang w:eastAsia="it-IT"/>
        </w:rPr>
        <w:t>Beni</w:t>
      </w:r>
      <w:bookmarkEnd w:id="26"/>
      <w:r w:rsidRPr="00990753">
        <w:rPr>
          <w:rFonts w:ascii="Arial" w:eastAsia="Times New Roman" w:hAnsi="Arial" w:cs="Arial"/>
          <w:color w:val="000000"/>
          <w:sz w:val="15"/>
          <w:szCs w:val="15"/>
          <w:lang w:eastAsia="it-IT"/>
        </w:rPr>
        <w:t>,</w:t>
      </w:r>
      <w:r w:rsidRPr="00990753">
        <w:rPr>
          <w:rFonts w:ascii="Arial" w:eastAsia="Times New Roman" w:hAnsi="Arial" w:cs="Arial"/>
          <w:color w:val="000000"/>
          <w:sz w:val="15"/>
          <w:lang w:eastAsia="it-IT"/>
        </w:rPr>
        <w:t> </w:t>
      </w:r>
      <w:bookmarkStart w:id="27" w:name="idAnagrafe.302760"/>
      <w:r w:rsidRPr="00990753">
        <w:rPr>
          <w:rFonts w:ascii="Arial" w:eastAsia="Times New Roman" w:hAnsi="Arial" w:cs="Arial"/>
          <w:color w:val="4D5D96"/>
          <w:sz w:val="15"/>
          <w:szCs w:val="15"/>
          <w:lang w:eastAsia="it-IT"/>
        </w:rPr>
        <w:t>Carra</w:t>
      </w:r>
      <w:bookmarkEnd w:id="27"/>
      <w:r w:rsidRPr="00990753">
        <w:rPr>
          <w:rFonts w:ascii="Arial" w:eastAsia="Times New Roman" w:hAnsi="Arial" w:cs="Arial"/>
          <w:color w:val="000000"/>
          <w:sz w:val="15"/>
          <w:szCs w:val="15"/>
          <w:lang w:eastAsia="it-IT"/>
        </w:rPr>
        <w:t>,</w:t>
      </w:r>
      <w:r w:rsidRPr="00990753">
        <w:rPr>
          <w:rFonts w:ascii="Arial" w:eastAsia="Times New Roman" w:hAnsi="Arial" w:cs="Arial"/>
          <w:color w:val="000000"/>
          <w:sz w:val="15"/>
          <w:lang w:eastAsia="it-IT"/>
        </w:rPr>
        <w:t> </w:t>
      </w:r>
      <w:bookmarkStart w:id="28" w:name="idAnagrafe.306194"/>
      <w:r w:rsidRPr="00990753">
        <w:rPr>
          <w:rFonts w:ascii="Arial" w:eastAsia="Times New Roman" w:hAnsi="Arial" w:cs="Arial"/>
          <w:color w:val="4D5D96"/>
          <w:sz w:val="15"/>
          <w:szCs w:val="15"/>
          <w:lang w:eastAsia="it-IT"/>
        </w:rPr>
        <w:t>Laforgia</w:t>
      </w:r>
      <w:bookmarkEnd w:id="28"/>
      <w:r w:rsidRPr="00990753">
        <w:rPr>
          <w:rFonts w:ascii="Arial" w:eastAsia="Times New Roman" w:hAnsi="Arial" w:cs="Arial"/>
          <w:color w:val="000000"/>
          <w:sz w:val="15"/>
          <w:szCs w:val="15"/>
          <w:lang w:eastAsia="it-IT"/>
        </w:rPr>
        <w:t>,</w:t>
      </w:r>
      <w:r w:rsidRPr="00990753">
        <w:rPr>
          <w:rFonts w:ascii="Arial" w:eastAsia="Times New Roman" w:hAnsi="Arial" w:cs="Arial"/>
          <w:color w:val="000000"/>
          <w:sz w:val="15"/>
          <w:lang w:eastAsia="it-IT"/>
        </w:rPr>
        <w:t> </w:t>
      </w:r>
      <w:bookmarkStart w:id="29" w:name="idAnagrafe.34180"/>
      <w:r w:rsidRPr="00990753">
        <w:rPr>
          <w:rFonts w:ascii="Arial" w:eastAsia="Times New Roman" w:hAnsi="Arial" w:cs="Arial"/>
          <w:color w:val="4D5D96"/>
          <w:sz w:val="15"/>
          <w:szCs w:val="15"/>
          <w:lang w:eastAsia="it-IT"/>
        </w:rPr>
        <w:t>Pollastrini</w:t>
      </w:r>
      <w:bookmarkEnd w:id="29"/>
      <w:r w:rsidRPr="00990753">
        <w:rPr>
          <w:rFonts w:ascii="Arial" w:eastAsia="Times New Roman" w:hAnsi="Arial" w:cs="Arial"/>
          <w:color w:val="000000"/>
          <w:sz w:val="15"/>
          <w:szCs w:val="15"/>
          <w:lang w:eastAsia="it-IT"/>
        </w:rPr>
        <w:t>,</w:t>
      </w:r>
      <w:r w:rsidRPr="00990753">
        <w:rPr>
          <w:rFonts w:ascii="Arial" w:eastAsia="Times New Roman" w:hAnsi="Arial" w:cs="Arial"/>
          <w:color w:val="000000"/>
          <w:sz w:val="15"/>
          <w:lang w:eastAsia="it-IT"/>
        </w:rPr>
        <w:t> </w:t>
      </w:r>
      <w:bookmarkStart w:id="30" w:name="idAnagrafe.305654"/>
      <w:r w:rsidRPr="00990753">
        <w:rPr>
          <w:rFonts w:ascii="Arial" w:eastAsia="Times New Roman" w:hAnsi="Arial" w:cs="Arial"/>
          <w:color w:val="4D5D96"/>
          <w:sz w:val="15"/>
          <w:szCs w:val="15"/>
          <w:lang w:eastAsia="it-IT"/>
        </w:rPr>
        <w:t>Casellato</w:t>
      </w:r>
      <w:bookmarkEnd w:id="30"/>
      <w:r w:rsidRPr="00990753">
        <w:rPr>
          <w:rFonts w:ascii="Arial" w:eastAsia="Times New Roman" w:hAnsi="Arial" w:cs="Arial"/>
          <w:color w:val="000000"/>
          <w:sz w:val="15"/>
          <w:szCs w:val="15"/>
          <w:lang w:eastAsia="it-IT"/>
        </w:rPr>
        <w:t>,</w:t>
      </w:r>
      <w:bookmarkStart w:id="31" w:name="idAnagrafe.306292"/>
      <w:r w:rsidRPr="00990753">
        <w:rPr>
          <w:rFonts w:ascii="Arial" w:eastAsia="Times New Roman" w:hAnsi="Arial" w:cs="Arial"/>
          <w:color w:val="4D5D96"/>
          <w:sz w:val="15"/>
          <w:szCs w:val="15"/>
          <w:lang w:eastAsia="it-IT"/>
        </w:rPr>
        <w:t>Chaouki</w:t>
      </w:r>
      <w:bookmarkEnd w:id="31"/>
      <w:r w:rsidRPr="00990753">
        <w:rPr>
          <w:rFonts w:ascii="Arial" w:eastAsia="Times New Roman" w:hAnsi="Arial" w:cs="Arial"/>
          <w:color w:val="000000"/>
          <w:sz w:val="15"/>
          <w:szCs w:val="15"/>
          <w:lang w:eastAsia="it-IT"/>
        </w:rPr>
        <w:t>,</w:t>
      </w:r>
      <w:r w:rsidRPr="00990753">
        <w:rPr>
          <w:rFonts w:ascii="Arial" w:eastAsia="Times New Roman" w:hAnsi="Arial" w:cs="Arial"/>
          <w:color w:val="000000"/>
          <w:sz w:val="15"/>
          <w:lang w:eastAsia="it-IT"/>
        </w:rPr>
        <w:t> </w:t>
      </w:r>
      <w:bookmarkStart w:id="32" w:name="idAnagrafe.301503"/>
      <w:r w:rsidRPr="00990753">
        <w:rPr>
          <w:rFonts w:ascii="Arial" w:eastAsia="Times New Roman" w:hAnsi="Arial" w:cs="Arial"/>
          <w:color w:val="4D5D96"/>
          <w:sz w:val="15"/>
          <w:szCs w:val="15"/>
          <w:lang w:eastAsia="it-IT"/>
        </w:rPr>
        <w:t>Gianni Farina</w:t>
      </w:r>
      <w:bookmarkEnd w:id="32"/>
      <w:r w:rsidRPr="00990753">
        <w:rPr>
          <w:rFonts w:ascii="Arial" w:eastAsia="Times New Roman" w:hAnsi="Arial" w:cs="Arial"/>
          <w:color w:val="000000"/>
          <w:sz w:val="15"/>
          <w:szCs w:val="15"/>
          <w:lang w:eastAsia="it-IT"/>
        </w:rPr>
        <w:t>,</w:t>
      </w:r>
      <w:r w:rsidRPr="00990753">
        <w:rPr>
          <w:rFonts w:ascii="Arial" w:eastAsia="Times New Roman" w:hAnsi="Arial" w:cs="Arial"/>
          <w:color w:val="000000"/>
          <w:sz w:val="15"/>
          <w:lang w:eastAsia="it-IT"/>
        </w:rPr>
        <w:t> </w:t>
      </w:r>
      <w:bookmarkStart w:id="33" w:name="idAnagrafe.302921"/>
      <w:proofErr w:type="spellStart"/>
      <w:r w:rsidRPr="00990753">
        <w:rPr>
          <w:rFonts w:ascii="Arial" w:eastAsia="Times New Roman" w:hAnsi="Arial" w:cs="Arial"/>
          <w:color w:val="4D5D96"/>
          <w:sz w:val="15"/>
          <w:szCs w:val="15"/>
          <w:lang w:eastAsia="it-IT"/>
        </w:rPr>
        <w:t>Ginoble</w:t>
      </w:r>
      <w:bookmarkEnd w:id="33"/>
      <w:proofErr w:type="spellEnd"/>
      <w:r w:rsidRPr="00990753">
        <w:rPr>
          <w:rFonts w:ascii="Arial" w:eastAsia="Times New Roman" w:hAnsi="Arial" w:cs="Arial"/>
          <w:color w:val="000000"/>
          <w:sz w:val="15"/>
          <w:szCs w:val="15"/>
          <w:lang w:eastAsia="it-IT"/>
        </w:rPr>
        <w:t>,</w:t>
      </w:r>
      <w:r w:rsidRPr="00990753">
        <w:rPr>
          <w:rFonts w:ascii="Arial" w:eastAsia="Times New Roman" w:hAnsi="Arial" w:cs="Arial"/>
          <w:color w:val="000000"/>
          <w:sz w:val="15"/>
          <w:lang w:eastAsia="it-IT"/>
        </w:rPr>
        <w:t> </w:t>
      </w:r>
      <w:bookmarkStart w:id="34" w:name="idAnagrafe.305751"/>
      <w:r w:rsidRPr="00990753">
        <w:rPr>
          <w:rFonts w:ascii="Arial" w:eastAsia="Times New Roman" w:hAnsi="Arial" w:cs="Arial"/>
          <w:color w:val="4D5D96"/>
          <w:sz w:val="15"/>
          <w:szCs w:val="15"/>
          <w:lang w:eastAsia="it-IT"/>
        </w:rPr>
        <w:t>Leva</w:t>
      </w:r>
      <w:bookmarkEnd w:id="34"/>
      <w:r w:rsidRPr="00990753">
        <w:rPr>
          <w:rFonts w:ascii="Arial" w:eastAsia="Times New Roman" w:hAnsi="Arial" w:cs="Arial"/>
          <w:color w:val="000000"/>
          <w:sz w:val="15"/>
          <w:szCs w:val="15"/>
          <w:lang w:eastAsia="it-IT"/>
        </w:rPr>
        <w:t>,</w:t>
      </w:r>
      <w:r w:rsidRPr="00990753">
        <w:rPr>
          <w:rFonts w:ascii="Arial" w:eastAsia="Times New Roman" w:hAnsi="Arial" w:cs="Arial"/>
          <w:color w:val="000000"/>
          <w:sz w:val="15"/>
          <w:lang w:eastAsia="it-IT"/>
        </w:rPr>
        <w:t> </w:t>
      </w:r>
      <w:bookmarkStart w:id="35" w:name="idAnagrafe.305974"/>
      <w:r w:rsidRPr="00990753">
        <w:rPr>
          <w:rFonts w:ascii="Arial" w:eastAsia="Times New Roman" w:hAnsi="Arial" w:cs="Arial"/>
          <w:color w:val="4D5D96"/>
          <w:sz w:val="15"/>
          <w:szCs w:val="15"/>
          <w:lang w:eastAsia="it-IT"/>
        </w:rPr>
        <w:t>Speranza</w:t>
      </w:r>
      <w:bookmarkEnd w:id="35"/>
      <w:r w:rsidRPr="00990753">
        <w:rPr>
          <w:rFonts w:ascii="Arial" w:eastAsia="Times New Roman" w:hAnsi="Arial" w:cs="Arial"/>
          <w:color w:val="000000"/>
          <w:sz w:val="15"/>
          <w:szCs w:val="15"/>
          <w:lang w:eastAsia="it-IT"/>
        </w:rPr>
        <w:t>,</w:t>
      </w:r>
      <w:r w:rsidRPr="00990753">
        <w:rPr>
          <w:rFonts w:ascii="Arial" w:eastAsia="Times New Roman" w:hAnsi="Arial" w:cs="Arial"/>
          <w:color w:val="000000"/>
          <w:sz w:val="15"/>
          <w:lang w:eastAsia="it-IT"/>
        </w:rPr>
        <w:t> </w:t>
      </w:r>
      <w:bookmarkStart w:id="36" w:name="idAnagrafe.302772"/>
      <w:proofErr w:type="spellStart"/>
      <w:r w:rsidRPr="00990753">
        <w:rPr>
          <w:rFonts w:ascii="Arial" w:eastAsia="Times New Roman" w:hAnsi="Arial" w:cs="Arial"/>
          <w:color w:val="4D5D96"/>
          <w:sz w:val="15"/>
          <w:szCs w:val="15"/>
          <w:lang w:eastAsia="it-IT"/>
        </w:rPr>
        <w:t>Tullo</w:t>
      </w:r>
      <w:bookmarkEnd w:id="36"/>
      <w:proofErr w:type="spellEnd"/>
      <w:r w:rsidRPr="00990753">
        <w:rPr>
          <w:rFonts w:ascii="Arial" w:eastAsia="Times New Roman" w:hAnsi="Arial" w:cs="Arial"/>
          <w:color w:val="000000"/>
          <w:sz w:val="15"/>
          <w:szCs w:val="15"/>
          <w:lang w:eastAsia="it-IT"/>
        </w:rPr>
        <w:t>».</w:t>
      </w:r>
    </w:p>
    <w:p w:rsidR="00D17DEC" w:rsidRDefault="00D17DEC"/>
    <w:sectPr w:rsidR="00D17DEC" w:rsidSect="00D17DE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oNotDisplayPageBoundaries/>
  <w:proofState w:spelling="clean"/>
  <w:defaultTabStop w:val="708"/>
  <w:hyphenationZone w:val="283"/>
  <w:characterSpacingControl w:val="doNotCompress"/>
  <w:compat/>
  <w:rsids>
    <w:rsidRoot w:val="00990753"/>
    <w:rsid w:val="002472D8"/>
    <w:rsid w:val="00990753"/>
    <w:rsid w:val="00D01194"/>
    <w:rsid w:val="00D17D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7DE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9075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990753"/>
  </w:style>
  <w:style w:type="character" w:customStyle="1" w:styleId="destinatari">
    <w:name w:val="destinatari"/>
    <w:basedOn w:val="Carpredefinitoparagrafo"/>
    <w:rsid w:val="00990753"/>
  </w:style>
  <w:style w:type="character" w:styleId="Enfasicorsivo">
    <w:name w:val="Emphasis"/>
    <w:basedOn w:val="Carpredefinitoparagrafo"/>
    <w:uiPriority w:val="20"/>
    <w:qFormat/>
    <w:rsid w:val="00990753"/>
    <w:rPr>
      <w:i/>
      <w:iCs/>
    </w:rPr>
  </w:style>
</w:styles>
</file>

<file path=word/webSettings.xml><?xml version="1.0" encoding="utf-8"?>
<w:webSettings xmlns:r="http://schemas.openxmlformats.org/officeDocument/2006/relationships" xmlns:w="http://schemas.openxmlformats.org/wordprocessingml/2006/main">
  <w:divs>
    <w:div w:id="54193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884</Words>
  <Characters>5042</Characters>
  <Application>Microsoft Office Word</Application>
  <DocSecurity>0</DocSecurity>
  <Lines>42</Lines>
  <Paragraphs>11</Paragraphs>
  <ScaleCrop>false</ScaleCrop>
  <Company/>
  <LinksUpToDate>false</LinksUpToDate>
  <CharactersWithSpaces>5915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2016-07-21T07:34:00Z</dcterms:created>
  <dcterms:modified xsi:type="dcterms:W3CDTF">2016-07-21T07:35:00Z</dcterms:modified>
</cp:coreProperties>
</file>