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43" w:rsidRDefault="001A0243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DC4D31" w:rsidRDefault="00DC4D31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AC 4444</w:t>
      </w:r>
    </w:p>
    <w:p w:rsidR="00DC4D31" w:rsidRDefault="00DC4D31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DC4D31" w:rsidRDefault="00DC4D31" w:rsidP="00DC4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EMENDAMENTO</w:t>
      </w:r>
    </w:p>
    <w:p w:rsidR="00DC4D31" w:rsidRDefault="00DC4D31" w:rsidP="00DC4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DC4D31" w:rsidRPr="005655A9" w:rsidRDefault="00DC4D31" w:rsidP="00DC4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Art. 55</w:t>
      </w:r>
    </w:p>
    <w:p w:rsidR="00DC4D31" w:rsidRPr="005655A9" w:rsidRDefault="00DC4D31" w:rsidP="00DC4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DC4D31" w:rsidRPr="005655A9" w:rsidRDefault="00DC4D31" w:rsidP="00DC4D3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Dopo l’articolo, aggiungere il seguente:</w:t>
      </w:r>
    </w:p>
    <w:p w:rsidR="00DC4D31" w:rsidRPr="005655A9" w:rsidRDefault="00DC4D31" w:rsidP="00DC4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DC4D31" w:rsidRPr="005655A9" w:rsidRDefault="00DC4D31" w:rsidP="00DC4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“Art. 55-</w:t>
      </w:r>
      <w:r w:rsidRPr="005655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bis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5705B5" w:rsidRPr="005655A9" w:rsidRDefault="00DC4D31" w:rsidP="005705B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A"/>
          <w:kern w:val="1"/>
          <w:sz w:val="28"/>
          <w:szCs w:val="28"/>
        </w:rPr>
      </w:pPr>
      <w:r w:rsidRPr="005655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(</w:t>
      </w:r>
      <w:r w:rsidR="005705B5" w:rsidRPr="005655A9">
        <w:rPr>
          <w:rFonts w:ascii="Times New Roman" w:eastAsia="Calibri" w:hAnsi="Times New Roman" w:cs="Times New Roman"/>
          <w:i/>
          <w:color w:val="00000A"/>
          <w:kern w:val="1"/>
          <w:sz w:val="28"/>
          <w:szCs w:val="28"/>
        </w:rPr>
        <w:t xml:space="preserve">Disciplina delle prestazioni </w:t>
      </w:r>
      <w:r w:rsidR="00AE707B" w:rsidRPr="005655A9">
        <w:rPr>
          <w:rFonts w:ascii="Times New Roman" w:eastAsia="Calibri" w:hAnsi="Times New Roman" w:cs="Times New Roman"/>
          <w:i/>
          <w:color w:val="00000A"/>
          <w:kern w:val="1"/>
          <w:sz w:val="28"/>
          <w:szCs w:val="28"/>
        </w:rPr>
        <w:t xml:space="preserve">meramente </w:t>
      </w:r>
      <w:r w:rsidR="005705B5" w:rsidRPr="005655A9">
        <w:rPr>
          <w:rFonts w:ascii="Times New Roman" w:eastAsia="Calibri" w:hAnsi="Times New Roman" w:cs="Times New Roman"/>
          <w:i/>
          <w:color w:val="00000A"/>
          <w:kern w:val="1"/>
          <w:sz w:val="28"/>
          <w:szCs w:val="28"/>
        </w:rPr>
        <w:t>occasionali.</w:t>
      </w:r>
    </w:p>
    <w:p w:rsidR="00DC4D31" w:rsidRPr="005655A9" w:rsidRDefault="005705B5" w:rsidP="005705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  <w:r w:rsidRPr="005655A9">
        <w:rPr>
          <w:rFonts w:ascii="Times New Roman" w:eastAsia="Calibri" w:hAnsi="Times New Roman" w:cs="Times New Roman"/>
          <w:i/>
          <w:color w:val="00000A"/>
          <w:kern w:val="1"/>
          <w:sz w:val="28"/>
          <w:szCs w:val="28"/>
        </w:rPr>
        <w:t>Libretto Famiglia.</w:t>
      </w:r>
      <w:r w:rsidR="00DC4D31" w:rsidRPr="005655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).</w:t>
      </w:r>
    </w:p>
    <w:p w:rsidR="00DC4D31" w:rsidRPr="005655A9" w:rsidRDefault="00DC4D31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DC4D31" w:rsidRPr="005655A9" w:rsidRDefault="00DC4D31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1. Per </w:t>
      </w:r>
      <w:r w:rsidR="00AE707B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prestazioni </w:t>
      </w:r>
      <w:r w:rsidR="00252C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meramente occasionali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AE707B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 intendono le attività lavorative 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 a favore di committenti non professionali, nell'ambito:</w:t>
      </w:r>
    </w:p>
    <w:p w:rsidR="00DC4D31" w:rsidRPr="005655A9" w:rsidRDefault="00DC4D31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         a</w:t>
      </w:r>
      <w:r w:rsidRPr="005655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)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dei piccoli lavori domestici a carattere straordinario, compresa l'assistenza domiciliare ai bambini e alle persone anziane, ammalate o con</w:t>
      </w:r>
      <w:r w:rsidR="007952F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565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handicap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;</w:t>
      </w:r>
    </w:p>
    <w:p w:rsidR="00DC4D31" w:rsidRPr="005655A9" w:rsidRDefault="007952F5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      </w:t>
      </w:r>
      <w:r w:rsidR="00DC4D31" w:rsidRPr="00565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b</w:t>
      </w:r>
      <w:r w:rsidR="00DC4D31" w:rsidRPr="005655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)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dell'insegnamento privato supplementare;</w:t>
      </w:r>
    </w:p>
    <w:p w:rsidR="00B97DDD" w:rsidRPr="005655A9" w:rsidRDefault="00DC4D31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 xml:space="preserve">          c</w:t>
      </w:r>
      <w:r w:rsidRPr="005655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)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dei piccoli lavori di giardinaggio, nonché di pulizia e manu</w:t>
      </w:r>
      <w:r w:rsidR="008130A7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tenzione d</w:t>
      </w:r>
      <w:r w:rsidR="00ED00D2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ell’abitazione</w:t>
      </w:r>
      <w:r w:rsidR="00B97DDD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;</w:t>
      </w:r>
    </w:p>
    <w:p w:rsidR="00DC4D31" w:rsidRPr="005655A9" w:rsidRDefault="00B97DDD" w:rsidP="00B97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d</w:t>
      </w:r>
      <w:r w:rsidRPr="005655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)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della realizzazione di manifestazioni sociali, sportive, culturali o caritatevoli</w:t>
      </w:r>
      <w:r w:rsidRPr="00565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, </w:t>
      </w:r>
      <w:r w:rsidR="00252C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organizzate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da soggetti non aventi finalità di lucro</w:t>
      </w:r>
      <w:r w:rsidR="008130A7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DC4D31" w:rsidRPr="005655A9" w:rsidRDefault="00DC4D31" w:rsidP="008130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         </w:t>
      </w: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</w:p>
    <w:p w:rsidR="00AE707B" w:rsidRPr="005655A9" w:rsidRDefault="008130A7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Le attività lavorative </w:t>
      </w:r>
      <w:r w:rsidR="00AE707B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cui al comma 1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anche se svolte a favore di più beneficiari, non possono dar luogo a compensi superiori a 5.000 euro nel corso di un anno. Fermo restando il limite complessivo di 5.000 euro, le attività </w:t>
      </w:r>
      <w:r w:rsidR="00252C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occasionali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possono essere svolte a favore di ciascun singolo committente per compensi non superiori a </w:t>
      </w:r>
      <w:r w:rsidR="00AE707B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AE707B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5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00 euro. </w:t>
      </w:r>
      <w:r w:rsidR="00AE707B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</w:t>
      </w:r>
      <w:r w:rsidR="00AE707B" w:rsidRPr="005655A9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it-IT"/>
        </w:rPr>
        <w:t>iascun utilizzatore, con riferimento alla totalità dei prestatori, non può corrispondere compensi di importo complessivamente superiore a 7.500 euro</w:t>
      </w:r>
      <w:r w:rsidR="00AE707B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</w:p>
    <w:p w:rsidR="00AE707B" w:rsidRPr="005655A9" w:rsidRDefault="00AE707B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DC4D31" w:rsidRPr="005655A9" w:rsidRDefault="008130A7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3</w:t>
      </w:r>
      <w:r w:rsidR="00DC4D31" w:rsidRPr="00565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.</w:t>
      </w:r>
      <w:r w:rsidR="005655A9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La retribuzione oraria delle attività lavorative </w:t>
      </w:r>
      <w:r w:rsidR="00252C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occasionali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è fissata in 1</w:t>
      </w:r>
      <w:r w:rsidR="00ED00D2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euro ed  è  periodicamente aggiornato con decreto del Ministro del lavoro e delle politiche sociali, tenendo conto della media delle retribuzioni rilevate per le diverse attività lavorative e delle risultanze istruttorie del confronto con le parti sociali. In caso di mancata emanazione del predetto decreto, l’importo della retribuzione oraria è comunque annualmente rivalutato sulla base della variazione dell'indice dei prezzi al consumo per le famiglie di operai e impiegati rilevato dall'Istituto nazionale di statistica.</w:t>
      </w:r>
    </w:p>
    <w:p w:rsidR="008130A7" w:rsidRPr="005655A9" w:rsidRDefault="008130A7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BE02D2" w:rsidRPr="005655A9" w:rsidRDefault="008130A7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4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BE02D2" w:rsidRPr="005655A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it-IT"/>
        </w:rPr>
        <w:t xml:space="preserve">Per ricorrere alle prestazioni di cui al presente articolo, gli utilizzatori e i prestatori sono tenuti a registrarsi, direttamente o tramite un intermediario autorizzato ai sensi della legge 30 marzo 2001, n. 152, all’interno di un’apposita piattaforma informatica gestita dall’INPS, </w:t>
      </w:r>
      <w:r w:rsidR="00BE02D2" w:rsidRPr="005655A9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it-IT"/>
        </w:rPr>
        <w:t xml:space="preserve">segnalando le forme prescelte, rispettivamente, di pagamento e di </w:t>
      </w:r>
      <w:r w:rsidR="00BE02D2" w:rsidRPr="005655A9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it-IT"/>
        </w:rPr>
        <w:lastRenderedPageBreak/>
        <w:t>accreditamento diretto dei compensi</w:t>
      </w:r>
      <w:r w:rsidR="00BE02D2" w:rsidRPr="005655A9">
        <w:rPr>
          <w:rFonts w:ascii="Times New Roman" w:eastAsia="Times New Roman" w:hAnsi="Times New Roman" w:cs="Times New Roman"/>
          <w:bCs/>
          <w:i/>
          <w:color w:val="00000A"/>
          <w:kern w:val="1"/>
          <w:sz w:val="28"/>
          <w:szCs w:val="28"/>
          <w:lang w:eastAsia="it-IT"/>
        </w:rPr>
        <w:t xml:space="preserve">. </w:t>
      </w:r>
      <w:r w:rsidR="00BE02D2" w:rsidRPr="005655A9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it-IT"/>
        </w:rPr>
        <w:t xml:space="preserve">Il prestatore può richiedere </w:t>
      </w:r>
      <w:r w:rsidR="00BE02D2" w:rsidRPr="005655A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it-IT"/>
        </w:rPr>
        <w:t>l’accreditamento dei compensi su un’apposita carta di debito emessa dall’INPS e inviata a domicilio</w:t>
      </w:r>
      <w:r w:rsidR="00330D6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it-IT"/>
        </w:rPr>
        <w:t>.</w:t>
      </w:r>
    </w:p>
    <w:p w:rsidR="00BE02D2" w:rsidRPr="005655A9" w:rsidRDefault="00BE02D2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BE02D2" w:rsidRPr="005655A9" w:rsidRDefault="008130A7" w:rsidP="00BE02D2">
      <w:pPr>
        <w:suppressAutoHyphens/>
        <w:spacing w:before="2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5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BE02D2" w:rsidRPr="005655A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it-IT"/>
        </w:rPr>
        <w:t xml:space="preserve"> Ciascun utilizzatore può acquistare, con modalità telematiche attraverso la piattaforma informatica INPS ovvero in forma cartacea presso gli uffici postali e le sedi INPS, un libretto nominativo prefinanziato, denominato “Libretto Famiglia”, spendibile entro dodici mesi dalla data di acquisto, per il pagamento delle prestazioni occasionali rese a suo favore. </w:t>
      </w:r>
      <w:r w:rsidR="00BE02D2" w:rsidRPr="005655A9">
        <w:rPr>
          <w:rFonts w:ascii="Times New Roman" w:eastAsia="Times New Roman" w:hAnsi="Times New Roman" w:cs="Times New Roman"/>
          <w:kern w:val="1"/>
          <w:sz w:val="28"/>
          <w:szCs w:val="28"/>
          <w:lang w:eastAsia="it-IT"/>
        </w:rPr>
        <w:t>Ciascun Libretto Famiglia contiene titoli di pagamento,</w:t>
      </w:r>
      <w:r w:rsidR="00BE02D2" w:rsidRPr="005655A9">
        <w:rPr>
          <w:rFonts w:ascii="Times New Roman" w:eastAsia="Calibri" w:hAnsi="Times New Roman" w:cs="Times New Roman"/>
          <w:kern w:val="1"/>
          <w:sz w:val="28"/>
          <w:szCs w:val="28"/>
        </w:rPr>
        <w:t xml:space="preserve"> numerati progressivamente, per prestazioni meramente occasionali.</w:t>
      </w:r>
    </w:p>
    <w:p w:rsidR="005A3A3A" w:rsidRPr="005655A9" w:rsidRDefault="00BE02D2" w:rsidP="0061736F">
      <w:pPr>
        <w:suppressAutoHyphens/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kern w:val="1"/>
          <w:sz w:val="28"/>
          <w:szCs w:val="28"/>
          <w:lang w:eastAsia="it-IT"/>
        </w:rPr>
        <w:t xml:space="preserve">6. Al termine della prestazione, l’utilizzatore comunica, attraverso la piattaforma informatica INPS, i dati anagrafici del prestatore, la durata oraria della prestazione e il numero di titoli di pagamento complessivamente spettanti. L’INPS </w:t>
      </w:r>
      <w:r w:rsidRPr="005655A9">
        <w:rPr>
          <w:rFonts w:ascii="Times New Roman" w:eastAsia="Calibri" w:hAnsi="Times New Roman" w:cs="Times New Roman"/>
          <w:kern w:val="1"/>
          <w:sz w:val="28"/>
          <w:szCs w:val="28"/>
        </w:rPr>
        <w:t xml:space="preserve">provvede al pagamento delle spettanze, effettuando altresì per conto dell’utilizzatore il versamento dei contributi previdenziali all'INPS, alla gestione separata di cui all'articolo </w:t>
      </w:r>
      <w:hyperlink r:id="rId5" w:anchor="id=10LX0000110062ART2,__m=document" w:history="1">
        <w:r w:rsidRPr="005655A9">
          <w:rPr>
            <w:rFonts w:ascii="Times New Roman" w:eastAsia="Calibri" w:hAnsi="Times New Roman" w:cs="Times New Roman"/>
            <w:kern w:val="1"/>
            <w:sz w:val="28"/>
            <w:szCs w:val="28"/>
          </w:rPr>
          <w:t>2, comma 26</w:t>
        </w:r>
      </w:hyperlink>
      <w:r w:rsidRPr="005655A9">
        <w:rPr>
          <w:rFonts w:ascii="Times New Roman" w:eastAsia="Calibri" w:hAnsi="Times New Roman" w:cs="Times New Roman"/>
          <w:kern w:val="1"/>
          <w:sz w:val="28"/>
          <w:szCs w:val="28"/>
        </w:rPr>
        <w:t xml:space="preserve">, della </w:t>
      </w:r>
      <w:hyperlink r:id="rId6" w:anchor="id=10LX0000110062ART0,__m=document" w:history="1">
        <w:r w:rsidRPr="005655A9">
          <w:rPr>
            <w:rFonts w:ascii="Times New Roman" w:eastAsia="Calibri" w:hAnsi="Times New Roman" w:cs="Times New Roman"/>
            <w:kern w:val="1"/>
            <w:sz w:val="28"/>
            <w:szCs w:val="28"/>
          </w:rPr>
          <w:t>legge 8 agosto 1995, n. 335</w:t>
        </w:r>
      </w:hyperlink>
      <w:r w:rsidRPr="005655A9">
        <w:rPr>
          <w:rFonts w:ascii="Times New Roman" w:eastAsia="Calibri" w:hAnsi="Times New Roman" w:cs="Times New Roman"/>
          <w:kern w:val="1"/>
          <w:sz w:val="28"/>
          <w:szCs w:val="28"/>
        </w:rPr>
        <w:t xml:space="preserve">, in misura pari al 25 per cento del valore nominale del titolo di pagamento, e per fini assicurativi contro gli infortuni all'INAIL, in misura pari al 7 per cento del valore nominale dello stesso. </w:t>
      </w:r>
      <w:r w:rsidR="005A3A3A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percentuale relativa al versamento dei contributi previdenziali può essere rideterminata con decreto del Ministro del lavoro e delle politiche sociali, di concerto con il Ministro dell'economia e delle finanze, in funzione delle aliquote contributive per gli iscritti alla gestione separata dell'INPS.</w:t>
      </w:r>
    </w:p>
    <w:p w:rsidR="008130A7" w:rsidRPr="005655A9" w:rsidRDefault="008130A7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DC4D31" w:rsidRPr="005655A9" w:rsidRDefault="008130A7" w:rsidP="00D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7</w:t>
      </w:r>
      <w:r w:rsidR="005A3A3A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compenso</w:t>
      </w:r>
      <w:r w:rsid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delle prestazioni meramente occasionali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è esente da qualsiasi im</w:t>
      </w:r>
      <w:r w:rsidR="0061736F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posizione fiscale e non incide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sull’eventuale stato di disoccupato o inoccupato del prestatore di lavoro accessorio. </w:t>
      </w:r>
    </w:p>
    <w:p w:rsidR="008130A7" w:rsidRPr="005655A9" w:rsidRDefault="008130A7" w:rsidP="005A3A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5A3A3A" w:rsidRPr="005655A9" w:rsidRDefault="008130A7" w:rsidP="005A3A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8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Con decreto del Ministro del lavoro e delle politiche sociali</w:t>
      </w:r>
      <w:r w:rsidR="00CB29B2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da adottare entro sessanta giorni dalla data di entrata in vigore della legge di conversione del presente decreto,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CB29B2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sono definite le spettanze per l’esercizio delle funzioni di cui al comma </w:t>
      </w:r>
      <w:r w:rsidR="005655A9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6</w:t>
      </w:r>
      <w:r w:rsidR="00CB29B2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8130A7" w:rsidRPr="005655A9" w:rsidRDefault="008130A7" w:rsidP="005A3A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DC4D31" w:rsidRPr="005655A9" w:rsidRDefault="008130A7" w:rsidP="005A3A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9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Nei casi in cui venga accertato l'improprio ricorso alle attività lavorative </w:t>
      </w:r>
      <w:r w:rsidR="00252C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occasionali</w:t>
      </w:r>
      <w:r w:rsidR="00DC4D31" w:rsidRPr="005655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ferme restando le conseguenze penalmente rilevanti in caso di false dichiarazioni, il superamento dei limiti quantitativi e qualitativi di utilizzo di tali forme di lavoro, determina l'applicazione di una sanzione amministrativa pecuniaria da euro 600 ad euro 3.600.</w:t>
      </w:r>
    </w:p>
    <w:p w:rsidR="00242462" w:rsidRDefault="00242462">
      <w:pPr>
        <w:rPr>
          <w:rFonts w:ascii="Times New Roman" w:hAnsi="Times New Roman" w:cs="Times New Roman"/>
          <w:sz w:val="28"/>
          <w:szCs w:val="28"/>
        </w:rPr>
      </w:pPr>
    </w:p>
    <w:p w:rsidR="00CE1E04" w:rsidRDefault="00CE1E04">
      <w:pPr>
        <w:rPr>
          <w:rFonts w:ascii="Times New Roman" w:hAnsi="Times New Roman" w:cs="Times New Roman"/>
          <w:sz w:val="28"/>
          <w:szCs w:val="28"/>
        </w:rPr>
      </w:pPr>
    </w:p>
    <w:p w:rsidR="00CE1E04" w:rsidRDefault="00CE1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INCERTI, ALBANELLA, ARLOTTI, BARUFFI, DAMIANO, DI SALVO, </w:t>
      </w:r>
    </w:p>
    <w:p w:rsidR="00CE1E04" w:rsidRPr="005655A9" w:rsidRDefault="00CE1E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GIACOBBE, GNECCHI, MAESTRI, MICCOLI </w:t>
      </w:r>
    </w:p>
    <w:sectPr w:rsidR="00CE1E04" w:rsidRPr="005655A9" w:rsidSect="008C3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294E"/>
    <w:multiLevelType w:val="hybridMultilevel"/>
    <w:tmpl w:val="AF76D8A2"/>
    <w:lvl w:ilvl="0" w:tplc="C18A6B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C4D31"/>
    <w:rsid w:val="0008002E"/>
    <w:rsid w:val="001A0243"/>
    <w:rsid w:val="00242462"/>
    <w:rsid w:val="00252C6B"/>
    <w:rsid w:val="00330D68"/>
    <w:rsid w:val="00433D79"/>
    <w:rsid w:val="005655A9"/>
    <w:rsid w:val="005705B5"/>
    <w:rsid w:val="005A1540"/>
    <w:rsid w:val="005A3A3A"/>
    <w:rsid w:val="0061736F"/>
    <w:rsid w:val="007952F5"/>
    <w:rsid w:val="008130A7"/>
    <w:rsid w:val="008C3542"/>
    <w:rsid w:val="009C4D4D"/>
    <w:rsid w:val="00A0021E"/>
    <w:rsid w:val="00AE707B"/>
    <w:rsid w:val="00B97DDD"/>
    <w:rsid w:val="00BE02D2"/>
    <w:rsid w:val="00CB29B2"/>
    <w:rsid w:val="00CE1E04"/>
    <w:rsid w:val="00DC4D31"/>
    <w:rsid w:val="00ED00D2"/>
    <w:rsid w:val="00F2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D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D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zi.senato.it/,DanaInfo=entilocali.leggiditalia.it+" TargetMode="External"/><Relationship Id="rId5" Type="http://schemas.openxmlformats.org/officeDocument/2006/relationships/hyperlink" Target="https://servizi.senato.it/,DanaInfo=entilocali.leggiditalia.it+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4</cp:revision>
  <cp:lastPrinted>2017-05-19T08:54:00Z</cp:lastPrinted>
  <dcterms:created xsi:type="dcterms:W3CDTF">2017-05-11T08:40:00Z</dcterms:created>
  <dcterms:modified xsi:type="dcterms:W3CDTF">2017-05-19T10:00:00Z</dcterms:modified>
</cp:coreProperties>
</file>