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FC" w:rsidRPr="007942FC" w:rsidRDefault="007942FC" w:rsidP="007942FC">
      <w:pPr>
        <w:pStyle w:val="titolo"/>
        <w:shd w:val="clear" w:color="auto" w:fill="FFFFFF"/>
        <w:rPr>
          <w:color w:val="000000"/>
        </w:rPr>
      </w:pPr>
      <w:r w:rsidRPr="007942FC">
        <w:rPr>
          <w:rStyle w:val="Enfasigrassetto"/>
          <w:color w:val="000000"/>
        </w:rPr>
        <w:t>Documento di economia e finanza 2016.</w:t>
      </w:r>
      <w:r w:rsidRPr="007942FC">
        <w:rPr>
          <w:rStyle w:val="apple-converted-space"/>
          <w:b/>
          <w:bCs/>
          <w:color w:val="000000"/>
        </w:rPr>
        <w:t> </w:t>
      </w:r>
      <w:r w:rsidRPr="007942FC">
        <w:rPr>
          <w:b/>
          <w:bCs/>
          <w:color w:val="000000"/>
        </w:rPr>
        <w:br/>
      </w:r>
      <w:r w:rsidRPr="007942FC">
        <w:rPr>
          <w:rStyle w:val="Enfasigrassetto"/>
          <w:color w:val="000000"/>
        </w:rPr>
        <w:t>(Doc. LVII, n.</w:t>
      </w:r>
      <w:r w:rsidRPr="007942FC">
        <w:rPr>
          <w:rStyle w:val="Enfasigrassetto"/>
          <w:color w:val="000000"/>
        </w:rPr>
        <w:t> </w:t>
      </w:r>
      <w:r w:rsidRPr="007942FC">
        <w:rPr>
          <w:rStyle w:val="Enfasigrassetto"/>
          <w:color w:val="000000"/>
        </w:rPr>
        <w:t>4 e allegati)</w:t>
      </w:r>
    </w:p>
    <w:p w:rsidR="007942FC" w:rsidRPr="007942FC" w:rsidRDefault="007942FC" w:rsidP="007942FC">
      <w:pPr>
        <w:pStyle w:val="parere"/>
        <w:shd w:val="clear" w:color="auto" w:fill="FFFFFF"/>
        <w:rPr>
          <w:color w:val="000000"/>
        </w:rPr>
      </w:pPr>
      <w:r w:rsidRPr="007942FC">
        <w:rPr>
          <w:rStyle w:val="Enfasigrassetto"/>
          <w:color w:val="000000"/>
        </w:rPr>
        <w:t>PARERE APPROVATO</w:t>
      </w:r>
    </w:p>
    <w:p w:rsidR="007942FC" w:rsidRPr="007942FC" w:rsidRDefault="007942FC" w:rsidP="007942FC">
      <w:pPr>
        <w:pStyle w:val="NormaleWeb"/>
        <w:shd w:val="clear" w:color="auto" w:fill="FFFFFF"/>
        <w:rPr>
          <w:color w:val="000000"/>
        </w:rPr>
      </w:pPr>
      <w:r w:rsidRPr="007942FC">
        <w:rPr>
          <w:color w:val="000000"/>
        </w:rPr>
        <w:t> </w:t>
      </w:r>
      <w:r w:rsidRPr="007942FC">
        <w:rPr>
          <w:color w:val="000000"/>
        </w:rPr>
        <w:t> </w:t>
      </w:r>
      <w:r w:rsidRPr="007942FC">
        <w:rPr>
          <w:color w:val="000000"/>
        </w:rPr>
        <w:t>La XI Commissione,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esaminato, per le parti di competenza, il Documento di economia e finanza 2016 (Doc. LVII, n.</w:t>
      </w:r>
      <w:r w:rsidRPr="007942FC">
        <w:rPr>
          <w:color w:val="000000"/>
        </w:rPr>
        <w:t> </w:t>
      </w:r>
      <w:r w:rsidRPr="007942FC">
        <w:rPr>
          <w:color w:val="000000"/>
        </w:rPr>
        <w:t>4) e i relativi allegati;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il Documento provvede all'individuazione degli obiettivi programmatici per il periodo 2016-2019, riferiti, da un lato, alla finanza pubblica e alla politica economica e, dall'altro, alle misure da adottare nell'ambito della strategia europea di riforme per una crescita sostenibile e inclusiva in un contesto economico sicuramente migliorato rispetto agli anni precedenti, dal momento che nel 2015 l'economia italiana è tornata a crescere, dopo tre anni consecutivi di contrazione, e nello stesso anno si sono riscontrati un incremento dell'occupazione e un calo della disoccupazione;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per l'anno 2016 si prospetta una prosecuzione e un rafforzamento della crescita del prodotto interno lordo, pur in un contesto nel quale si manifestano segnali di rallentamento, già avvertiti nel secondo semestre dello scorso anno, dovuti essenzialmente al peggioramento del quadro internazionale, che hanno determinato il contenimento dell'effetto di trascinamento della crescita;</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rilevato che, alla luce di tale scenario e del deterioramento della congiuntura a livello internazionale, il Documento provvede a una revisione delle proiezioni di crescita per il triennio 2016-2018 effettuate dalla Nota di aggiornamento del Documento di economia e finanza 2015, stimando per l'anno in corso un incremento del prodotto interno lordo reale dell'1,2 per cento, a fronte dell'1,6 per cento ipotizzato nel precedente documento programmatico;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su base tendenziale il prodotto interno lordo continuerebbe a crescere dell'1,2 per cento annuo negli anni 2017 e 2018, mentre nel 2019 l'incremento salirebbe all'1,3 per cento, e che, in termini programmatici, la crescita nel triennio 2017-2019 risulterebbe più elevata, tenendo conto degli effetti di una politica di bilancio che, pur essendo indirizzata al conseguimento del pareggio di bilancio nel medio periodo, intende promuovere la ripresa dell'attività economica e dell'occupazione, e, pertanto, il prodotto interno lordo crescerebbe dell'1,4 per cento nel 2017, dell'1,5 per cento nel 2018 e dell'1,4 per cento nel 2019;</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rilevato che, per quanto attiene agli obiettivi di finanza pubblica, nel quadro tendenziale, si prevede che l'indebitamento netto passerebbe dal 2,6 per cento del prodotto interno lordo registrato nel 2015 al 2,3 per cento nell'anno 2016, per poi ridursi progressivamente all'1,4 per cento nel 2017 e allo 0,3 per cento nel 2018, raggiungendo nel 2019 un saldo attivo dello 0,4 per cento;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apprezzata la scelta compiuta dall'Esecutivo, in considerazione di tale quadro economico e dell'esigenza di tenere conto delle ripercussioni della profonda e prolungata fase di recessione attraversata dal nostro Paese, di prefigurare un sentiero di riduzione dell'indebitamento più graduale di quello programmato nella Nota di aggiornamento</w:t>
      </w:r>
      <w:r w:rsidRPr="007942FC">
        <w:rPr>
          <w:rStyle w:val="apple-converted-space"/>
          <w:color w:val="000000"/>
        </w:rPr>
        <w:t> </w:t>
      </w:r>
      <w:r w:rsidRPr="007942FC">
        <w:rPr>
          <w:rStyle w:val="numeropagina"/>
          <w:color w:val="333333"/>
        </w:rPr>
        <w:t>Pag. 163</w:t>
      </w:r>
      <w:r w:rsidRPr="007942FC">
        <w:rPr>
          <w:color w:val="000000"/>
        </w:rPr>
        <w:t>del Documento di economia e finanza 2015 e nella legge di stabilità 2016, presentando conseguentemente una relazione al Parlamento, ai sensi dell'articolo 6, comma 5, della legge 24 dicembre 2012, n.</w:t>
      </w:r>
      <w:r w:rsidRPr="007942FC">
        <w:rPr>
          <w:color w:val="000000"/>
        </w:rPr>
        <w:t> </w:t>
      </w:r>
      <w:r w:rsidRPr="007942FC">
        <w:rPr>
          <w:color w:val="000000"/>
        </w:rPr>
        <w:t>243;</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per effetto di tale decisione, il rapporto tra indebitamento netto e prodotto interno lordo in termini programmatici si collocherebbe su valori più alti di quelli tendenziali, raggiungendo l'1,8 per cento nel 2017, lo 0,9 per cento nel 2018 e un saldo attivo dello 0,1 per cento nel 2019;</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il nuovo percorso di riduzione dell'indebitamento netto determina un rallentamento nell'avvicinamento all'obiettivo di medio termine del pareggio di bilancio in termini strutturali, che sarebbe sostanzialmente conseguito nell'anno 2019, in considerazione dell'esigenza di evitare una stretta fiscale che rischierebbe di rivelarsi controproducente per l'economia del nostro Paese;</w:t>
      </w:r>
      <w:r w:rsidRPr="007942FC">
        <w:rPr>
          <w:rStyle w:val="apple-converted-space"/>
          <w:color w:val="000000"/>
        </w:rPr>
        <w:t> </w:t>
      </w:r>
      <w:r w:rsidRPr="007942FC">
        <w:rPr>
          <w:color w:val="000000"/>
        </w:rPr>
        <w:br/>
      </w:r>
      <w:r w:rsidRPr="007942FC">
        <w:rPr>
          <w:color w:val="000000"/>
        </w:rPr>
        <w:lastRenderedPageBreak/>
        <w:t> </w:t>
      </w:r>
      <w:r w:rsidRPr="007942FC">
        <w:rPr>
          <w:color w:val="000000"/>
        </w:rPr>
        <w:t> </w:t>
      </w:r>
      <w:r w:rsidRPr="007942FC">
        <w:rPr>
          <w:color w:val="000000"/>
        </w:rPr>
        <w:t> </w:t>
      </w:r>
      <w:r w:rsidRPr="007942FC">
        <w:rPr>
          <w:color w:val="000000"/>
        </w:rPr>
        <w:t>apprezzata, in questo contesto, la volontà manifestata dal Governo di sterilizzare le clausole di salvaguardia che diventerebbero operative nel 2017 e avrebbero un impatto pari a circa lo 0,9 per cento del prodotto interno lordo, attraverso una serie di interventi di revisione della spesa pubblica, ivi incluse le spese fiscali, e di strumenti che accrescano la fedeltà fiscale e riducano i margini di evasione e di elusione, ferma restando la prosecuzione, compatibilmente con gli equilibri di bilancio, del processo di riduzione del carico fiscale sulle famiglie e sulle imprese;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valutata positivamente la circostanza che, sul piano programmatico, nell'anno 2016 il rapporto tra debito e prodotto interno lordo si avvierà finalmente su un sentiero di riduzione, passando dal 132,7 per cento, registrato nell'esercizio appena concluso, al 132,4 per cento, per poi raggiungere il 130,9 per cento nel 2017, il 128 per cento nel 2018 e il 123,8 per cento nel 2019;</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nell'ambito del quadro macroeconomico tendenziale, si prevede che il tasso di disoccupazione si riduca costantemente nel corso del periodo di riferimento, a un ritmo dello 0,5 per cento, che dovrebbe portare da un valore dell'11,9 per cento nell'anno 2015 al 9,9 per cento previsto per l'anno 2019;</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sul piano programmatico, la riduzione del tasso di disoccupazione dovrebbe procedere, tra il 2017 e il 2019, a un ritmo leggermente più sostenuto, che dovrebbe portare a raggiungere un tasso del 10,8 per cento nel 2017, del 10,2 per cento nel 2018 e del 9,6 per cento nel 2019;</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rilevato che analoghi progressi si determinerebbero con riferimento al tasso di occupazione dei soggetti tra i 15 e i 64 anni, che, sul piano tendenziale, passa dal 56,3 per cento del 2015 al 57 per cento nel 2016, per poi crescere al 57,4 per cento nel 2017, al 57,8 per cento nel 2018 e al 58,1 per cento nel 2019;</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preso atto con favore dell'incremento del livello di occupazione per la fascia di età compresa tra i 20 e i 64 anni, che è passato dal 59,9 per cento del 2014 al 60,5 per cento del 2015, raggiungendo tuttavia un valore sensibilmente inferiore a quello registrato nel 2008, all'inizio della crisi economica, quando il tasso di occupazione era pari al 62,9 per cento, e ancora lontano dall'obiettivo del 67-69 per cento fissato per il nostro Paese nell'ambito della Strategia Europa 2020;</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nonostante i positivi risultati raggiunti nel corso dell'anno appena concluso, si rendono necessarie misure incisive per promuovere un sensibile incremento del tasso di occupazione delle donne, pari nel 2015 al 50,6 per cento, e di quello riscontrato nel Mezzogiorno, dove il tasso di occupazione è stato pari al 46,1 per cento;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rilevato che, nell'esaminare le recenti tendenze del mercato del lavoro il Documento, sottolinea il positivo apporto dato all'incremento dell'occupazione dalle nuove</w:t>
      </w:r>
      <w:r w:rsidRPr="007942FC">
        <w:rPr>
          <w:rStyle w:val="apple-converted-space"/>
          <w:color w:val="000000"/>
        </w:rPr>
        <w:t> </w:t>
      </w:r>
      <w:r w:rsidRPr="007942FC">
        <w:rPr>
          <w:rStyle w:val="numeropagina"/>
          <w:color w:val="333333"/>
        </w:rPr>
        <w:t>Pag. 164</w:t>
      </w:r>
      <w:r w:rsidRPr="007942FC">
        <w:rPr>
          <w:color w:val="000000"/>
        </w:rPr>
        <w:t>disposizioni legislative in materia di lavoro introdotte nel corso dell'anno 2015 e dagli interventi contenuti nella legge di stabilità per il 2015 volti a ridurre il carico fiscale sul lavoro e a introdurre un esonero contributivo per le nuove assunzioni con contratto a tempo indeterminato effettuate nel corso del medesimo anno;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ravvisata l'opportunità, in linea con quanto osservato anche dalla Banca d'Italia nel corso della sua audizione preliminare all'esame del Documento, di individuare misure volte a realizzare una riduzione strutturale del cuneo fiscale, quantificato dall'OCSE nella sua pubblicazione</w:t>
      </w:r>
      <w:r w:rsidRPr="007942FC">
        <w:rPr>
          <w:rStyle w:val="apple-converted-space"/>
          <w:color w:val="000000"/>
        </w:rPr>
        <w:t> </w:t>
      </w:r>
      <w:proofErr w:type="spellStart"/>
      <w:r w:rsidRPr="007942FC">
        <w:rPr>
          <w:rStyle w:val="Enfasicorsivo"/>
          <w:color w:val="000000"/>
        </w:rPr>
        <w:t>Taxing</w:t>
      </w:r>
      <w:proofErr w:type="spellEnd"/>
      <w:r w:rsidRPr="007942FC">
        <w:rPr>
          <w:rStyle w:val="Enfasicorsivo"/>
          <w:color w:val="000000"/>
        </w:rPr>
        <w:t xml:space="preserve"> </w:t>
      </w:r>
      <w:proofErr w:type="spellStart"/>
      <w:r w:rsidRPr="007942FC">
        <w:rPr>
          <w:rStyle w:val="Enfasicorsivo"/>
          <w:color w:val="000000"/>
        </w:rPr>
        <w:t>Wages</w:t>
      </w:r>
      <w:proofErr w:type="spellEnd"/>
      <w:r w:rsidRPr="007942FC">
        <w:rPr>
          <w:rStyle w:val="Enfasicorsivo"/>
          <w:color w:val="000000"/>
        </w:rPr>
        <w:t xml:space="preserve"> 2016</w:t>
      </w:r>
      <w:r w:rsidRPr="007942FC">
        <w:rPr>
          <w:color w:val="000000"/>
        </w:rPr>
        <w:t>, nella misura del 49 per cento, a fronte di una media dei Paesi membri dell'OCSE pari al 35,9 per cento;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segnalata, in questa ottica, l'esigenza di valutare in primo luogo la stabilizzazione o, in via subordinata, la proroga dello sgravio contributivo per le nuove assunzioni effettuate con contratto di lavoro subordinato a tempo indeterminato nel corso dell'anno 2016, previsto dall'articolo 1, comma 178, della legge 28 dicembre 2015, n.</w:t>
      </w:r>
      <w:r w:rsidRPr="007942FC">
        <w:rPr>
          <w:color w:val="000000"/>
        </w:rPr>
        <w:t> </w:t>
      </w:r>
      <w:r w:rsidRPr="007942FC">
        <w:rPr>
          <w:color w:val="000000"/>
        </w:rPr>
        <w:t>208, promuovendo in questo modo la creazione di rapporti di lavoro stabili, che, da un lato, assicurano ai lavoratori maggiori diritti e tutele e, dall'altro, rafforzano la capacità produttiva e innovativa del sistema imprenditoriale;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 xml:space="preserve">ritenuto che, in questo contesto, vadano previste misure specifiche volte a rafforzare gli incentivi di carattere contributivo per l'assunzione delle donne e per la creazione di nuovi posti di </w:t>
      </w:r>
      <w:r w:rsidRPr="007942FC">
        <w:rPr>
          <w:color w:val="000000"/>
        </w:rPr>
        <w:lastRenderedPageBreak/>
        <w:t>lavoro nelle regioni del Mezzogiorno, anche considerando che l'articolo 1, comma 121, della legge di stabilità 2015 ha soppresso l'articolo 8, comma 9, della legge 29 dicembre 1990, n.</w:t>
      </w:r>
      <w:r w:rsidRPr="007942FC">
        <w:rPr>
          <w:color w:val="000000"/>
        </w:rPr>
        <w:t> </w:t>
      </w:r>
      <w:r w:rsidRPr="007942FC">
        <w:rPr>
          <w:color w:val="000000"/>
        </w:rPr>
        <w:t>407, che attribuiva sgravi contributivi particolarmente rilevanti ai datori di lavoro operanti nei territori del Mezzogiorno che assumevano, con contratto a tempo indeterminato, lavoratori disoccupati da almeno ventiquattro mesi o sospesi dal lavoro e beneficiari del trattamento straordinario di integrazione salariale da uguale periodo;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nell'ambito delle indicazioni relative alla strategia di riforma contenute nel Programma nazionale di riforma, si sottolinea come si sia conclusa la fase di attuazione della delega di cui alla legge n.</w:t>
      </w:r>
      <w:r w:rsidRPr="007942FC">
        <w:rPr>
          <w:color w:val="000000"/>
        </w:rPr>
        <w:t> </w:t>
      </w:r>
      <w:r w:rsidRPr="007942FC">
        <w:rPr>
          <w:color w:val="000000"/>
        </w:rPr>
        <w:t>183 del 2014 e che il percorso di riforma del cosiddetto</w:t>
      </w:r>
      <w:r w:rsidRPr="007942FC">
        <w:rPr>
          <w:rStyle w:val="apple-converted-space"/>
          <w:color w:val="000000"/>
        </w:rPr>
        <w:t> </w:t>
      </w:r>
      <w:r w:rsidRPr="007942FC">
        <w:rPr>
          <w:rStyle w:val="Enfasicorsivo"/>
          <w:color w:val="000000"/>
        </w:rPr>
        <w:t xml:space="preserve">Jobs </w:t>
      </w:r>
      <w:proofErr w:type="spellStart"/>
      <w:r w:rsidRPr="007942FC">
        <w:rPr>
          <w:rStyle w:val="Enfasicorsivo"/>
          <w:color w:val="000000"/>
        </w:rPr>
        <w:t>Act</w:t>
      </w:r>
      <w:proofErr w:type="spellEnd"/>
      <w:r w:rsidRPr="007942FC">
        <w:rPr>
          <w:rStyle w:val="apple-converted-space"/>
          <w:color w:val="000000"/>
        </w:rPr>
        <w:t> </w:t>
      </w:r>
      <w:r w:rsidRPr="007942FC">
        <w:rPr>
          <w:color w:val="000000"/>
        </w:rPr>
        <w:t>si completerà nell'anno in corso con la piena operatività dell'ANPAL e dell'Ispettorato nazionale del lavoro;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ribadita l'esigenza, già evidenziata in occasione dell'esame della Nota di aggiornamento del Documento di economia e finanza 2015, di assicurare il monitoraggio permanente degli effetti degli interventi previsti dai decreti legislativi attuativi delle deleghe di cui alla legge n.</w:t>
      </w:r>
      <w:r w:rsidRPr="007942FC">
        <w:rPr>
          <w:color w:val="000000"/>
        </w:rPr>
        <w:t> </w:t>
      </w:r>
      <w:r w:rsidRPr="007942FC">
        <w:rPr>
          <w:color w:val="000000"/>
        </w:rPr>
        <w:t>183 del 2014, attraverso il sistema permanente di monitoraggio e valutazione istituito ai sensi dell'articolo 1, comma 2, della legge 28 giugno 2012, n.</w:t>
      </w:r>
      <w:r w:rsidRPr="007942FC">
        <w:rPr>
          <w:color w:val="000000"/>
        </w:rPr>
        <w:t> </w:t>
      </w:r>
      <w:r w:rsidRPr="007942FC">
        <w:rPr>
          <w:color w:val="000000"/>
        </w:rPr>
        <w:t>92, anche in vista della possibile adozione di disposizioni integrative e correttive;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segnalata, in tale contesto, l'opportunità di promuovere un ulteriore rafforzamento delle politiche attive del lavoro, anche attraverso un potenziamento degli investimenti per tali politiche, storicamente recessivi rispetto agli stanziamenti destinati ad altre finalità, nonché di verificare se sussista l'esigenza di effettuare ulteriori interventi in materia di ammortizzatori sociali, anche in considerazione dell'avanzamento del processo di progressivo superamento degli ammortizzatori sociali in deroga alla normativa vigente;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rilevato che nell'ambito del Programma nazionale di riforma si richiamano i contenuti del disegno di legge relativo al cosiddetto</w:t>
      </w:r>
      <w:r w:rsidRPr="007942FC">
        <w:rPr>
          <w:rStyle w:val="apple-converted-space"/>
          <w:color w:val="000000"/>
        </w:rPr>
        <w:t> </w:t>
      </w:r>
      <w:r w:rsidRPr="007942FC">
        <w:rPr>
          <w:rStyle w:val="Enfasicorsivo"/>
          <w:color w:val="000000"/>
        </w:rPr>
        <w:t xml:space="preserve">Jobs </w:t>
      </w:r>
      <w:proofErr w:type="spellStart"/>
      <w:r w:rsidRPr="007942FC">
        <w:rPr>
          <w:rStyle w:val="Enfasicorsivo"/>
          <w:color w:val="000000"/>
        </w:rPr>
        <w:t>Act</w:t>
      </w:r>
      <w:proofErr w:type="spellEnd"/>
      <w:r w:rsidRPr="007942FC">
        <w:rPr>
          <w:rStyle w:val="apple-converted-space"/>
          <w:i/>
          <w:iCs/>
          <w:color w:val="000000"/>
        </w:rPr>
        <w:t> </w:t>
      </w:r>
      <w:r w:rsidRPr="007942FC">
        <w:rPr>
          <w:color w:val="000000"/>
        </w:rPr>
        <w:t>per i lavoratori autonomi e al lavoro agile, collegato alla manovra di finanza pubblica, attualmente all'esame dell'altro ramo del Parlamento (Atto Senato n.</w:t>
      </w:r>
      <w:r w:rsidRPr="007942FC">
        <w:rPr>
          <w:color w:val="000000"/>
        </w:rPr>
        <w:t> </w:t>
      </w:r>
      <w:r w:rsidRPr="007942FC">
        <w:rPr>
          <w:color w:val="000000"/>
        </w:rPr>
        <w:t>2233), indicandosi come obiettivo per il completamento dell’</w:t>
      </w:r>
      <w:r w:rsidRPr="007942FC">
        <w:rPr>
          <w:rStyle w:val="Enfasicorsivo"/>
          <w:color w:val="000000"/>
        </w:rPr>
        <w:t>iter</w:t>
      </w:r>
      <w:r w:rsidRPr="007942FC">
        <w:rPr>
          <w:rStyle w:val="apple-converted-space"/>
          <w:color w:val="000000"/>
        </w:rPr>
        <w:t> </w:t>
      </w:r>
      <w:r w:rsidRPr="007942FC">
        <w:rPr>
          <w:color w:val="000000"/>
        </w:rPr>
        <w:t>del provvedimento il mese di settembre del 2016;</w:t>
      </w:r>
      <w:proofErr w:type="spellStart"/>
      <w:r w:rsidRPr="007942FC">
        <w:rPr>
          <w:rStyle w:val="numeropagina"/>
          <w:color w:val="333333"/>
        </w:rPr>
        <w:t>Pag</w:t>
      </w:r>
      <w:proofErr w:type="spellEnd"/>
      <w:r w:rsidRPr="007942FC">
        <w:rPr>
          <w:rStyle w:val="numeropagina"/>
          <w:color w:val="333333"/>
        </w:rPr>
        <w:t>. 165</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ritenuto che alla definizione di un compiuto sistema di diritti e di tutele per i rapporti di lavoro autonomo debba accompagnarsi un intervento di carattere strutturale volto a stabilizzare la misura dell'aliquota di contribuzione previdenziale per i lavoratori autonomi, titolari di posizione fiscale ai fini dell'imposta sul valore aggiunto, iscritti alla gestione separata di cui all'articolo 2, comma 26, della legge 8 agosto 1995, n.</w:t>
      </w:r>
      <w:r w:rsidRPr="007942FC">
        <w:rPr>
          <w:color w:val="000000"/>
        </w:rPr>
        <w:t> </w:t>
      </w:r>
      <w:r w:rsidRPr="007942FC">
        <w:rPr>
          <w:color w:val="000000"/>
        </w:rPr>
        <w:t>335, che non risultino iscritti ad altre gestioni di previdenza obbligatoria né pensionati, nella prospettiva di una sua progressiva riduzione e di una sua tendenziale equiparazione a quella prevista per la generalità dei lavoratori autonomi;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nell'ambito del Programma nazionale di riforma, si rappresenta che nel 2016 il Governo si concentrerà su una riforma della contrattazione aziendale con l'obiettivo di rendere esigibili ed efficaci i contratti aziendali e di garantire la pace sindacale in costanza di contratto, sulla base di un criterio di prevalenza dei contratti aziendali su quelli nazionali in materie legate all'organizzazione del lavoro e della produzione;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condiviso l'obiettivo di un rafforzamento del secondo livello di contrattazione, al fine di promuovere, in quel livello contrattuale, la definizione di istituti incidenti sull'organizzazione del lavoro e della produzione che promuovano un incremento della produttività del lavoro, mantenendo al contratto nazionale il compito di delineare la normativa e le tutele comuni per tutti i lavoratori;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ritenuto che un intervento normativo sulla materia della contrattazione collettiva che miri a consentire, in specifici e ben delimitati contesti, la prevalenza dei contratti aziendali su quelli nazionali debba tenere conto delle esperienze maturate dalle parti sociali, con particolare riferimento alle previsioni del testo unico sulla rappresentanza, sottoscritto da CGIL, CISL, UIL e Confindustria nel gennaio 2014, che consente un trasferimento regolato di competenze dal contratto nazionale alla contrattazione di secondo livello;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 xml:space="preserve">evidenziato, con riferimento alla spesa in materia previdenziale, che nel consueto approfondimento dedicato all'impatto finanziario dei più recenti interventi di riforma del sistema </w:t>
      </w:r>
      <w:r w:rsidRPr="007942FC">
        <w:rPr>
          <w:color w:val="000000"/>
        </w:rPr>
        <w:lastRenderedPageBreak/>
        <w:t>pensionistico, il Documento evidenzia come l'effetto del complessivo processo di riforma attuato a partire dal 2004 porterà l'età media del pensionamento a circa 64 anni nel 2020, a 67 anni nel 2040 e a circa 68 anni nel 2050, con una riduzione cumulata dell'incidenza della spesa previdenziale pari a circa 60 punti percentuali del prodotto interno lordo fino al 2050, dei quali circa un terzo sarebbe riferibile agli interventi previsti nel decreto-legge n.</w:t>
      </w:r>
      <w:r w:rsidRPr="007942FC">
        <w:rPr>
          <w:color w:val="000000"/>
        </w:rPr>
        <w:t> </w:t>
      </w:r>
      <w:r w:rsidRPr="007942FC">
        <w:rPr>
          <w:color w:val="000000"/>
        </w:rPr>
        <w:t>201 del 2011, convertito, con modificazioni, dalla legge n.</w:t>
      </w:r>
      <w:r w:rsidRPr="007942FC">
        <w:rPr>
          <w:color w:val="000000"/>
        </w:rPr>
        <w:t> </w:t>
      </w:r>
      <w:r w:rsidRPr="007942FC">
        <w:rPr>
          <w:color w:val="000000"/>
        </w:rPr>
        <w:t>214 del 2011;</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anche la Corte dei conti nel Rapporto 2016 sul coordinamento della finanza pubblica, di recente pubblicazione, ha evidenziato che la spesa per pensioni nel 2015, in assenza di interventi correttivi nel periodo compreso tra il 2007 e il 2011, sarebbe stata superiore di oltre 30 miliardi di euro annui e che l'effetto di riduzione della spesa sarebbe ripartito in parti sostanzialmente identiche tra la riforma del 2007 e quelle realizzate nel biennio 2010-2011;</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 xml:space="preserve">considerato che l'analisi svolta annualmente sulle tendenze di </w:t>
      </w:r>
      <w:proofErr w:type="spellStart"/>
      <w:r w:rsidRPr="007942FC">
        <w:rPr>
          <w:color w:val="000000"/>
        </w:rPr>
        <w:t>medio-lungo</w:t>
      </w:r>
      <w:proofErr w:type="spellEnd"/>
      <w:r w:rsidRPr="007942FC">
        <w:rPr>
          <w:color w:val="000000"/>
        </w:rPr>
        <w:t xml:space="preserve"> periodo del sistema pensionistico italiano conferma la complessiva sostenibilità di tale sistema sul piano finanziario, anche a fronte delle dinamiche demografiche e della loro incidenza sulla spesa previdenziale, che nel suo momento di massima espansione, attorno al 2044 raggiungerebbe il 15,5 per cento del prodotto interno lordo;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rilevato che, anche ai fini di una adeguata comparazione a livello internazionale, occorre considerare che i dati relativi alla spesa previdenziale sono comprensivi delle imposte dovute su tali redditi, che nel nostro Paese sono più gravose che in altri Stati e ammontano complessivamente a oltre 40 miliardi di euro;</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ritenuto che, anche alla luce dell'incisività degli interventi correttivi in materia</w:t>
      </w:r>
      <w:r w:rsidRPr="007942FC">
        <w:rPr>
          <w:rStyle w:val="apple-converted-space"/>
          <w:color w:val="000000"/>
        </w:rPr>
        <w:t> </w:t>
      </w:r>
      <w:r w:rsidRPr="007942FC">
        <w:rPr>
          <w:rStyle w:val="numeropagina"/>
          <w:color w:val="333333"/>
        </w:rPr>
        <w:t>Pag. 166</w:t>
      </w:r>
      <w:r w:rsidRPr="007942FC">
        <w:rPr>
          <w:color w:val="000000"/>
        </w:rPr>
        <w:t>di spesa pensionistica adottati nell'ultimo decennio, vi siano le condizioni per valutare positivamente la fattibilità di interventi volti a favorire una maggiore flessibilità nelle scelte individuali, salvaguardando la sostenibilità finanziaria e il corretto equilibrio nei rapporti tra generazioni, in linea con quanto rappresentato nel Documento;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evidenziato che, in tale ottica, si possano ulteriormente sviluppare gli approfondimenti di carattere tecnico avviati dalla Commissione nell'ambito dell'esame delle proposte di legge Atto Camera n.</w:t>
      </w:r>
      <w:r w:rsidRPr="007942FC">
        <w:rPr>
          <w:color w:val="000000"/>
        </w:rPr>
        <w:t> </w:t>
      </w:r>
      <w:r w:rsidRPr="007942FC">
        <w:rPr>
          <w:color w:val="000000"/>
        </w:rPr>
        <w:t>857 Damiano e abbinate, recanti disposizioni in materia di accesso dei lavoratori e delle lavoratrici ai trattamenti pensionistici e di riconoscimento a fini previdenziali dei lavori di cura familiare, in vista della definizione di un intervento compatibile con il quadro programmatico di finanza pubblica delineato nel Documento;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considerata l'opportunità, già rilevata in uno studio del Dipartimento del tesoro pubblicato nel 2013, di effettuare un'attenta riflessione sui differenziali esistenti nell'aspettativa di vita dei lavoratori sulla base delle attività svolte e delle loro condizioni socioeconomiche;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nell'ambito del Programma nazionale di riforma, il Documento richiama i contenuti del disegno di legge Atto Camera n.</w:t>
      </w:r>
      <w:r w:rsidRPr="007942FC">
        <w:rPr>
          <w:color w:val="000000"/>
        </w:rPr>
        <w:t> </w:t>
      </w:r>
      <w:r w:rsidRPr="007942FC">
        <w:rPr>
          <w:color w:val="000000"/>
        </w:rPr>
        <w:t>3594, collegato alla manovra di finanza pubblica, in materia di contrasto alla povertà, attualmente all'esame delle Commissioni riunite XI e XII della Camera dei deputati, sottolineando in particolare l'approccio organico del provvedimento, che dovrebbe raggiungere più della metà delle famiglie povere con minori;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segnalato che, nel sintetizzare i contenuti del disegno di legge governativo, per il quale si prevede l'approvazione definitiva entro la fine del mese di giugno del 2016, il Documento fa riferimento alla razionalizzazione delle prestazioni di natura assistenziale e di quelle di natura previdenziale, sulla base del principio dell'universalismo selettivo;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il Ministro del lavoro e delle politiche sociali ha già opportunamente chiarito che il riferimento a una razionalizzazione delle prestazioni previdenziali deve attribuirsi ad un errore tecnico, manifestando al contempo l'intenzione di presentare un emendamento governativo al disegno di legge Atto Camera n.</w:t>
      </w:r>
      <w:r w:rsidRPr="007942FC">
        <w:rPr>
          <w:color w:val="000000"/>
        </w:rPr>
        <w:t> </w:t>
      </w:r>
      <w:r w:rsidRPr="007942FC">
        <w:rPr>
          <w:color w:val="000000"/>
        </w:rPr>
        <w:t>3594 al fine di chiarire in maniera assoluta e definitiva la questione;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 xml:space="preserve">ritenuto che, anche alla luce di tale esplicita presa di posizione del Governo e in vista dell'esame del disegno di legge delega in materia di contrasto alla povertà, sia opportuno riaffermare la necessità di operare una chiara distinzione tra la spesa di carattere previdenziale e </w:t>
      </w:r>
      <w:r w:rsidRPr="007942FC">
        <w:rPr>
          <w:color w:val="000000"/>
        </w:rPr>
        <w:lastRenderedPageBreak/>
        <w:t>quella destinata a finalità assistenziali;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con l'articolo 1, comma 386, della legge 28 dicembre 2015, n.</w:t>
      </w:r>
      <w:r w:rsidRPr="007942FC">
        <w:rPr>
          <w:color w:val="000000"/>
        </w:rPr>
        <w:t> </w:t>
      </w:r>
      <w:r w:rsidRPr="007942FC">
        <w:rPr>
          <w:color w:val="000000"/>
        </w:rPr>
        <w:t>208, è stato costituito un Fondo per la lotta alla povertà e all'esclusione sociale, con una dotazione di oltre un miliardo di euro a decorrere dal 2017, che rende finalmente possibile procedere nella direzione della creazione di una misura strutturale contro la povertà di carattere nazionale, fondata sull'attivazione dei beneficiari degli interventi;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rilevata l'opportunità di definire un percorso che porti a un progressivo incremento delle risorse destinate a tale misura, che ne garantisca la portata universalistica, in favore dei soggetti e dei nuclei familiari che versino in condizioni di povertà assoluta;</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per quanto concerne il pubblico impiego, il Documento, nell'ambito del Programma nazionale di riforma, richiama in primo luogo il processo di attuazione della legge delega di riforma della pubblica amministrazione, approvata definitivamente nell'agosto dello scorso anno, che dovrebbe completarsi entro il mese di febbraio del 2017 con l'adozione dei decreti legislativi per il riordino della disciplina del lavoro alle dipendenze delle pubbliche amministrazioni;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osservato che, con specifico riferimento alla spesa per redditi da lavoro</w:t>
      </w:r>
      <w:r w:rsidRPr="007942FC">
        <w:rPr>
          <w:rStyle w:val="apple-converted-space"/>
          <w:color w:val="000000"/>
        </w:rPr>
        <w:t> </w:t>
      </w:r>
      <w:r w:rsidRPr="007942FC">
        <w:rPr>
          <w:rStyle w:val="numeropagina"/>
          <w:color w:val="333333"/>
        </w:rPr>
        <w:t>Pag. 167</w:t>
      </w:r>
      <w:r w:rsidRPr="007942FC">
        <w:rPr>
          <w:color w:val="000000"/>
        </w:rPr>
        <w:t>dipendente nelle pubbliche amministrazioni, il Documento dà conto dei risparmi registrati nel periodo tra il 2009 e il 2015, nel quale si è determinata una diminuzione di 110.000 unità di lavoro e una riduzione dell'incidenza dalla spesa per redditi da lavoro dipendente nel settore pubblico sul prodotto interno lordo dal 10,9 per cento al 9,9 per cento, allineando l'Italia ai Paesi dell'Unione europea che presentano una spesa più contenuta;</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evidenziato che, nel quadro a legislazione vigente, la spesa per redditi da lavoro dipendente delle amministrazioni pubbliche, è stimata in aumento dell'1,4 per cento circa per il 2016, mentre si prospettano un calo dello 0,8 per cento nel 2017 e dello 0,2 per cento nel 2018, e un lieve aumento, dello 0,2 per cento, nel 2019, che passa allo 0,6 per cento nelle previsioni a politiche invariate sulla base di un'ipotesi meramente tecnica di rinnovo per il triennio contrattuale 2019-2021;</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ricordate le limitazioni al</w:t>
      </w:r>
      <w:r w:rsidRPr="007942FC">
        <w:rPr>
          <w:rStyle w:val="apple-converted-space"/>
          <w:color w:val="000000"/>
        </w:rPr>
        <w:t> </w:t>
      </w:r>
      <w:r w:rsidRPr="007942FC">
        <w:rPr>
          <w:rStyle w:val="Enfasicorsivo"/>
          <w:color w:val="000000"/>
        </w:rPr>
        <w:t xml:space="preserve">turn </w:t>
      </w:r>
      <w:proofErr w:type="spellStart"/>
      <w:r w:rsidRPr="007942FC">
        <w:rPr>
          <w:rStyle w:val="Enfasicorsivo"/>
          <w:color w:val="000000"/>
        </w:rPr>
        <w:t>over</w:t>
      </w:r>
      <w:proofErr w:type="spellEnd"/>
      <w:r w:rsidRPr="007942FC">
        <w:rPr>
          <w:rStyle w:val="apple-converted-space"/>
          <w:i/>
          <w:iCs/>
          <w:color w:val="000000"/>
        </w:rPr>
        <w:t> </w:t>
      </w:r>
      <w:r w:rsidRPr="007942FC">
        <w:rPr>
          <w:color w:val="000000"/>
        </w:rPr>
        <w:t>nelle pubbliche amministrazioni stabilite, per il triennio 2016-2018, dall'articolo 1, commi 227 e 228, della legge di stabilità per il 2016;</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ritenuto che, in linea con quanto rappresentato nel Programma nazionale di riforma, la qualificazione e l'efficienza dell'azione delle amministrazioni pubbliche rappresentino elementi strategici ai fini del miglioramento della qualità dei servizi resi ai cittadini e alle imprese e del rafforzamento della competitività del nostro sistema produttivo;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considerato che il 5 aprile scorso è stato sottoscritto il contratto collettivo nazionale quadro per la definizione dei comparti e delle aree di contrattazione collettiva nazionale e delle relative aree dirigenziali delle amministrazioni pubbliche per il triennio 2016-2018, che ha ridotto da undici a quattro i comparti di contrattazione e costituirà il quadro di riferimento per la ripresa dell'attività contrattuale,</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esprime</w:t>
      </w:r>
    </w:p>
    <w:p w:rsidR="007942FC" w:rsidRPr="007942FC" w:rsidRDefault="007942FC" w:rsidP="007942FC">
      <w:pPr>
        <w:pStyle w:val="center"/>
        <w:shd w:val="clear" w:color="auto" w:fill="FFFFFF"/>
        <w:jc w:val="center"/>
        <w:rPr>
          <w:color w:val="000000"/>
        </w:rPr>
      </w:pPr>
      <w:r w:rsidRPr="007942FC">
        <w:rPr>
          <w:color w:val="000000"/>
        </w:rPr>
        <w:t>PARERE FAVOREVOLE</w:t>
      </w:r>
    </w:p>
    <w:p w:rsidR="007942FC" w:rsidRPr="007942FC" w:rsidRDefault="007942FC" w:rsidP="007942FC">
      <w:pPr>
        <w:pStyle w:val="NormaleWeb"/>
        <w:shd w:val="clear" w:color="auto" w:fill="FFFFFF"/>
        <w:rPr>
          <w:color w:val="000000"/>
        </w:rPr>
      </w:pPr>
      <w:r w:rsidRPr="007942FC">
        <w:rPr>
          <w:color w:val="000000"/>
        </w:rPr>
        <w:t> </w:t>
      </w:r>
      <w:r w:rsidRPr="007942FC">
        <w:rPr>
          <w:color w:val="000000"/>
        </w:rPr>
        <w:t> </w:t>
      </w:r>
      <w:r w:rsidRPr="007942FC">
        <w:rPr>
          <w:rStyle w:val="Enfasicorsivo"/>
          <w:color w:val="000000"/>
        </w:rPr>
        <w:t>con le seguenti</w:t>
      </w:r>
      <w:r w:rsidRPr="007942FC">
        <w:rPr>
          <w:rStyle w:val="apple-converted-space"/>
          <w:i/>
          <w:iCs/>
          <w:color w:val="000000"/>
        </w:rPr>
        <w:t> </w:t>
      </w:r>
      <w:bookmarkStart w:id="0" w:name="fase"/>
      <w:r w:rsidRPr="007942FC">
        <w:rPr>
          <w:rStyle w:val="Enfasicorsivo"/>
          <w:color w:val="000000"/>
        </w:rPr>
        <w:t>osservazioni:</w:t>
      </w:r>
      <w:bookmarkEnd w:id="0"/>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si richiami l'opportunità di individuare misure permanenti di riduzione del cuneo fiscale sul lavoro, promuovendo in particolare l'applicazione in via strutturale delle misure di sgravio contributivo attualmente previste, con riferimento ai nuovi contratti di lavoro subordinato a tempo indeterminato stipulati nell'anno 2016, dall'articolo 1, comma 178, della legge di stabilità 2016, estendendole anche a quanti saranno assunti negli anni successivi e valutando eventualmente una riconsiderazione della loro configurazione sotto il profilo della creazione di posti di lavoro stabili e di qualità;</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 xml:space="preserve">nel quadro delle misure volte a favorire l'incremento del tasso di occupazione e, in particolare, di quella giovanile, si rappresenti l'esigenza di adottare specifiche iniziative volte a </w:t>
      </w:r>
      <w:r w:rsidRPr="007942FC">
        <w:rPr>
          <w:color w:val="000000"/>
        </w:rPr>
        <w:lastRenderedPageBreak/>
        <w:t>rafforzare le misure incentivanti previste a legislazione vigente per promuovere l'occupazione femminile e la creazione di nuovi posti di lavoro nel Mezzogiorno;</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si segnali al Governo l'esigenza di assicurare un attento monitoraggio degli effetti delle riforme in materia di mercato del lavoro e di ammortizzatori sociali realizzate in attuazione delle deleghe di cui alla legge n.</w:t>
      </w:r>
      <w:r w:rsidRPr="007942FC">
        <w:rPr>
          <w:color w:val="000000"/>
        </w:rPr>
        <w:t> </w:t>
      </w:r>
      <w:r w:rsidRPr="007942FC">
        <w:rPr>
          <w:color w:val="000000"/>
        </w:rPr>
        <w:t>183 del 2014, in linea con quanto previsto dall'articolo 1, comma 13, della medesima legge, anche al fine di valutare modifiche e integrazioni delle disposizioni adottate, nonché eventuali ulteriori interventi volti:</w:t>
      </w:r>
      <w:r w:rsidRPr="007942FC">
        <w:rPr>
          <w:rStyle w:val="apple-converted-space"/>
          <w:color w:val="000000"/>
        </w:rPr>
        <w:t> </w:t>
      </w:r>
      <w:r w:rsidRPr="007942FC">
        <w:rPr>
          <w:color w:val="000000"/>
        </w:rPr>
        <w:br/>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a)</w:t>
      </w:r>
      <w:r w:rsidRPr="007942FC">
        <w:rPr>
          <w:rStyle w:val="apple-converted-space"/>
          <w:color w:val="000000"/>
        </w:rPr>
        <w:t> </w:t>
      </w:r>
      <w:r w:rsidRPr="007942FC">
        <w:rPr>
          <w:color w:val="000000"/>
        </w:rPr>
        <w:t>a rafforzare i finanziamenti destinati alle politiche attive del lavoro e ai servizi per l'impiego, anche mediante l'utilizzo dei fondi strutturali europei;</w:t>
      </w:r>
      <w:r w:rsidRPr="007942FC">
        <w:rPr>
          <w:rStyle w:val="apple-converted-space"/>
          <w:color w:val="000000"/>
        </w:rPr>
        <w:t> </w:t>
      </w:r>
      <w:r w:rsidRPr="007942FC">
        <w:rPr>
          <w:color w:val="000000"/>
        </w:rPr>
        <w:br/>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b)</w:t>
      </w:r>
      <w:r w:rsidRPr="007942FC">
        <w:rPr>
          <w:rStyle w:val="apple-converted-space"/>
          <w:color w:val="000000"/>
        </w:rPr>
        <w:t> </w:t>
      </w:r>
      <w:r w:rsidRPr="007942FC">
        <w:rPr>
          <w:color w:val="000000"/>
        </w:rPr>
        <w:t>a rendere più stringente la normativa sui voucher al fine di ricondurne l'utilizzo all'ambito delle prestazioni di lavoro di carattere occasionale;</w:t>
      </w:r>
      <w:r w:rsidRPr="007942FC">
        <w:rPr>
          <w:rStyle w:val="apple-converted-space"/>
          <w:color w:val="000000"/>
        </w:rPr>
        <w:t> </w:t>
      </w:r>
      <w:r w:rsidRPr="007942FC">
        <w:rPr>
          <w:color w:val="000000"/>
        </w:rPr>
        <w:br/>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c)</w:t>
      </w:r>
      <w:r w:rsidRPr="007942FC">
        <w:rPr>
          <w:rStyle w:val="apple-converted-space"/>
          <w:color w:val="000000"/>
        </w:rPr>
        <w:t> </w:t>
      </w:r>
      <w:r w:rsidRPr="007942FC">
        <w:rPr>
          <w:color w:val="000000"/>
        </w:rPr>
        <w:t>a garantire che le risorse destinate agli ammortizzatori sociali assicurino una adeguata copertura in caso di disoccupazione</w:t>
      </w:r>
      <w:r w:rsidRPr="007942FC">
        <w:rPr>
          <w:rStyle w:val="apple-converted-space"/>
          <w:color w:val="000000"/>
        </w:rPr>
        <w:t> </w:t>
      </w:r>
      <w:r w:rsidRPr="007942FC">
        <w:rPr>
          <w:rStyle w:val="numeropagina"/>
          <w:color w:val="333333"/>
        </w:rPr>
        <w:t>Pag. 168</w:t>
      </w:r>
      <w:r w:rsidRPr="007942FC">
        <w:rPr>
          <w:color w:val="000000"/>
        </w:rPr>
        <w:t>involontaria, tenuto conto anche del processo di progressivo superamento degli ammortizzatori sociali in deroga;</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si indichi l'esigenza che, nella definizione dei contenuti di eventuali interventi normativi sulla riforma della contrattazione aziendale, volti a consentire la prevalenza dei contratti aziendali su quelli nazionali in specifiche materie legate all'organizzazione del lavoro e della produzione, sia salvaguardata la centralità del primo livello di contrattazione e si tenga conto delle esperienze maturate negli ultimi anni dalle parti sociali e, in particolare, del testo unico sulla rappresentanza del gennaio 2014, prevedendo che ai fini dell'esigibilità e dell'efficacia dei contratti aziendali sia garantita la consultazione dei lavoratori interessati;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anche in considerazione della sostanziale stabilità del sistema pensionistico e dei rilevanti risparmi conseguiti nell'ultimo decennio sul versante della spesa previdenziale, si rappresenti l'esigenza di promuovere, nel corso del presente anno, interventi volti a introdurre, nel rispetto degli obiettivi di finanza pubblica indicati nel Documento, elementi di flessibilità nella disciplina dell'età di pensionamento, tenendo conto delle scelte dei lavoratori e delle lavoratrici, anche con la previsione di ragionevoli penalizzazioni in caso di accesso anticipato ai trattamenti previdenziali;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si segnali l'esigenza di realizzare, nel rispetto degli obiettivi di finanza pubblica indicati nel Documento in esame, interventi di razionalizzazione della disciplina in materia previdenziale che, nell'ambito dell'impianto complessivo della normativa vigente, introducano puntuali correttivi volti, in particolare:</w:t>
      </w:r>
      <w:r w:rsidRPr="007942FC">
        <w:rPr>
          <w:rStyle w:val="apple-converted-space"/>
          <w:color w:val="000000"/>
        </w:rPr>
        <w:t> </w:t>
      </w:r>
      <w:r w:rsidRPr="007942FC">
        <w:rPr>
          <w:color w:val="000000"/>
        </w:rPr>
        <w:br/>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a)</w:t>
      </w:r>
      <w:r w:rsidRPr="007942FC">
        <w:rPr>
          <w:rStyle w:val="apple-converted-space"/>
          <w:color w:val="000000"/>
        </w:rPr>
        <w:t> </w:t>
      </w:r>
      <w:r w:rsidRPr="007942FC">
        <w:rPr>
          <w:color w:val="000000"/>
        </w:rPr>
        <w:t>a superare la disciplina delle ricongiunzioni onerose introdotta dall'articolo 12 del decreto-legge 31 maggio 2010, n.</w:t>
      </w:r>
      <w:r w:rsidRPr="007942FC">
        <w:rPr>
          <w:color w:val="000000"/>
        </w:rPr>
        <w:t> </w:t>
      </w:r>
      <w:r w:rsidRPr="007942FC">
        <w:rPr>
          <w:color w:val="000000"/>
        </w:rPr>
        <w:t>78, convertito, con modificazioni, dalla legge 30 luglio 2010, n.</w:t>
      </w:r>
      <w:r w:rsidRPr="007942FC">
        <w:rPr>
          <w:color w:val="000000"/>
        </w:rPr>
        <w:t> </w:t>
      </w:r>
      <w:r w:rsidRPr="007942FC">
        <w:rPr>
          <w:color w:val="000000"/>
        </w:rPr>
        <w:t>122, tenendo conto della diffusione del fenomeno di carriere previdenziali frammentate, in modo da consentire la piena valorizzazione dei contributi versati nelle diverse gestioni attraverso il cumulo dei periodi assicurativi ai fini del conseguimento di un'unica prestazione previdenziale, calcolata</w:t>
      </w:r>
      <w:r w:rsidRPr="007942FC">
        <w:rPr>
          <w:rStyle w:val="apple-converted-space"/>
          <w:color w:val="000000"/>
        </w:rPr>
        <w:t> </w:t>
      </w:r>
      <w:r w:rsidRPr="007942FC">
        <w:rPr>
          <w:rStyle w:val="Enfasicorsivo"/>
          <w:color w:val="000000"/>
        </w:rPr>
        <w:t>pro rata</w:t>
      </w:r>
      <w:r w:rsidRPr="007942FC">
        <w:rPr>
          <w:rStyle w:val="apple-converted-space"/>
          <w:i/>
          <w:iCs/>
          <w:color w:val="000000"/>
        </w:rPr>
        <w:t> </w:t>
      </w:r>
      <w:r w:rsidRPr="007942FC">
        <w:rPr>
          <w:color w:val="000000"/>
        </w:rPr>
        <w:t>sulla base dei versamenti effettuati in ciascuna gestione previdenziale;</w:t>
      </w:r>
      <w:r w:rsidRPr="007942FC">
        <w:rPr>
          <w:rStyle w:val="apple-converted-space"/>
          <w:color w:val="000000"/>
        </w:rPr>
        <w:t> </w:t>
      </w:r>
      <w:r w:rsidRPr="007942FC">
        <w:rPr>
          <w:color w:val="000000"/>
        </w:rPr>
        <w:br/>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b)</w:t>
      </w:r>
      <w:r w:rsidRPr="007942FC">
        <w:rPr>
          <w:rStyle w:val="apple-converted-space"/>
          <w:color w:val="000000"/>
        </w:rPr>
        <w:t> </w:t>
      </w:r>
      <w:r w:rsidRPr="007942FC">
        <w:rPr>
          <w:color w:val="000000"/>
        </w:rPr>
        <w:t>a una revisione mirata delle disposizioni in materia di accesso anticipato al pensionamento per gli addetti alle lavorazioni particolarmente faticose e pesanti, di cui al decreto legislativo 21 aprile 2011, n.</w:t>
      </w:r>
      <w:r w:rsidRPr="007942FC">
        <w:rPr>
          <w:color w:val="000000"/>
        </w:rPr>
        <w:t> </w:t>
      </w:r>
      <w:r w:rsidRPr="007942FC">
        <w:rPr>
          <w:color w:val="000000"/>
        </w:rPr>
        <w:t>67, anche tenendo conto delle disponibilità presenti nel Fondo di cui all'articolo 1, comma 3, lettera</w:t>
      </w:r>
      <w:r w:rsidRPr="007942FC">
        <w:rPr>
          <w:rStyle w:val="apple-converted-space"/>
          <w:color w:val="000000"/>
        </w:rPr>
        <w:t> </w:t>
      </w:r>
      <w:r w:rsidRPr="007942FC">
        <w:rPr>
          <w:rStyle w:val="Enfasicorsivo"/>
          <w:color w:val="000000"/>
        </w:rPr>
        <w:t>f)</w:t>
      </w:r>
      <w:r w:rsidRPr="007942FC">
        <w:rPr>
          <w:color w:val="000000"/>
        </w:rPr>
        <w:t>, della legge 24 dicembre 2007, n.</w:t>
      </w:r>
      <w:r w:rsidRPr="007942FC">
        <w:rPr>
          <w:color w:val="000000"/>
        </w:rPr>
        <w:t> </w:t>
      </w:r>
      <w:r w:rsidRPr="007942FC">
        <w:rPr>
          <w:color w:val="000000"/>
        </w:rPr>
        <w:t>247;</w:t>
      </w:r>
      <w:r w:rsidRPr="007942FC">
        <w:rPr>
          <w:rStyle w:val="apple-converted-space"/>
          <w:color w:val="000000"/>
        </w:rPr>
        <w:t> </w:t>
      </w:r>
      <w:r w:rsidRPr="007942FC">
        <w:rPr>
          <w:color w:val="000000"/>
        </w:rPr>
        <w:br/>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 </w:t>
      </w:r>
      <w:r w:rsidRPr="007942FC">
        <w:rPr>
          <w:rStyle w:val="Enfasicorsivo"/>
          <w:color w:val="000000"/>
        </w:rPr>
        <w:t>c)</w:t>
      </w:r>
      <w:r w:rsidRPr="007942FC">
        <w:rPr>
          <w:rStyle w:val="apple-converted-space"/>
          <w:color w:val="000000"/>
        </w:rPr>
        <w:t> </w:t>
      </w:r>
      <w:r w:rsidRPr="007942FC">
        <w:rPr>
          <w:color w:val="000000"/>
        </w:rPr>
        <w:t xml:space="preserve">a rafforzare le misure previste a legislazione vigente finalizzate a valorizzare, ai fini pensionistici, i lavori di cura familiare, attraverso il riconoscimento di periodi di contribuzione figurativa, in linea con quanto indicato anche nella prima stesura del pilastro dei diritti sociali allegato alla Comunicazione della Commissione europea relativa all'avvio di una consultazione su un pilastro europeo dei diritti sociali (COM(2016)127 </w:t>
      </w:r>
      <w:proofErr w:type="spellStart"/>
      <w:r w:rsidRPr="007942FC">
        <w:rPr>
          <w:color w:val="000000"/>
        </w:rPr>
        <w:t>final</w:t>
      </w:r>
      <w:proofErr w:type="spellEnd"/>
      <w:r w:rsidRPr="007942FC">
        <w:rPr>
          <w:color w:val="000000"/>
        </w:rPr>
        <w:t xml:space="preserve"> </w:t>
      </w:r>
      <w:proofErr w:type="spellStart"/>
      <w:r w:rsidRPr="007942FC">
        <w:rPr>
          <w:color w:val="000000"/>
        </w:rPr>
        <w:t>Annex</w:t>
      </w:r>
      <w:proofErr w:type="spellEnd"/>
      <w:r w:rsidRPr="007942FC">
        <w:rPr>
          <w:color w:val="000000"/>
        </w:rPr>
        <w:t xml:space="preserve"> 1), che indica il riconoscimento a fini previdenziali dei periodi dedicati alle attività di assistenza tra le misure da adottare per contrastare il divario di genere nei trattamenti pensionistici;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 xml:space="preserve">si rappresenti l'opportunità di definire un percorso che porti a un progressivo incremento delle risorse destinate al finanziamento di una misura nazionale contro la povertà, che ne garantisca la portata universalistica, in favore dei soggetti e dei nuclei familiari che versino in condizioni di </w:t>
      </w:r>
      <w:r w:rsidRPr="007942FC">
        <w:rPr>
          <w:color w:val="000000"/>
        </w:rPr>
        <w:lastRenderedPageBreak/>
        <w:t>povertà assoluta, assicurando una chiara distinzione tra la spesa di carattere previdenziale e quella destinata a finalità assistenziali;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nel quadro del processo di rafforzamento dei diritti e delle tutele nell'ambito dei rapporti di lavoro autonomo, avviato con il disegno di legge recante misure per la tutela del lavoro autonomo non imprenditoriale e misure volte a favorire l'articolazione flessibile nei tempi e nei luoghi del lavoro subordinato, collegato</w:t>
      </w:r>
      <w:r w:rsidRPr="007942FC">
        <w:rPr>
          <w:rStyle w:val="apple-converted-space"/>
          <w:color w:val="000000"/>
        </w:rPr>
        <w:t> </w:t>
      </w:r>
      <w:r w:rsidRPr="007942FC">
        <w:rPr>
          <w:rStyle w:val="numeropagina"/>
          <w:color w:val="333333"/>
        </w:rPr>
        <w:t>Pag. 169</w:t>
      </w:r>
      <w:r w:rsidRPr="007942FC">
        <w:rPr>
          <w:color w:val="000000"/>
        </w:rPr>
        <w:t>alla manovra di finanza pubblica, attualmente all'esame del Senato della Repubblica, si segnali l'esigenza di rendere definitivo il blocco dell'incremento dell'aliquota di contribuzione previdenziale per i lavoratori autonomi, titolari di posizione fiscale ai fini dell'imposta sul valore aggiunto, iscritti alla gestione separata di cui all'articolo 2, comma 26, della legge 8 agosto 1995, n.</w:t>
      </w:r>
      <w:r w:rsidRPr="007942FC">
        <w:rPr>
          <w:color w:val="000000"/>
        </w:rPr>
        <w:t> </w:t>
      </w:r>
      <w:r w:rsidRPr="007942FC">
        <w:rPr>
          <w:color w:val="000000"/>
        </w:rPr>
        <w:t>335, che non risultino iscritti ad altre gestioni di previdenza obbligatoria né pensionati, nella prospettiva di una sua progressiva riduzione e di una sua tendenziale equiparazione a quella prevista per la generalità dei lavoratori autonomi;</w:t>
      </w:r>
      <w:r w:rsidRPr="007942FC">
        <w:rPr>
          <w:rStyle w:val="apple-converted-space"/>
          <w:color w:val="000000"/>
        </w:rPr>
        <w:t> </w:t>
      </w:r>
      <w:r w:rsidRPr="007942FC">
        <w:rPr>
          <w:color w:val="000000"/>
        </w:rPr>
        <w:br/>
      </w:r>
      <w:r w:rsidRPr="007942FC">
        <w:rPr>
          <w:color w:val="000000"/>
        </w:rPr>
        <w:t> </w:t>
      </w:r>
      <w:r w:rsidRPr="007942FC">
        <w:rPr>
          <w:color w:val="000000"/>
        </w:rPr>
        <w:t> </w:t>
      </w:r>
      <w:r w:rsidRPr="007942FC">
        <w:rPr>
          <w:color w:val="000000"/>
        </w:rPr>
        <w:t> </w:t>
      </w:r>
      <w:r w:rsidRPr="007942FC">
        <w:rPr>
          <w:color w:val="000000"/>
        </w:rPr>
        <w:t>con riferimento alla materia del pubblico impiego, si rappresenti l'opportunità di avviare le procedure per concludere i rinnovi contrattuali per il triennio 2016-2018 e di avviare una riflessione in ordine al progressivo superamento delle limitazioni al</w:t>
      </w:r>
      <w:r w:rsidRPr="007942FC">
        <w:rPr>
          <w:rStyle w:val="apple-converted-space"/>
          <w:color w:val="000000"/>
        </w:rPr>
        <w:t> </w:t>
      </w:r>
      <w:r w:rsidRPr="007942FC">
        <w:rPr>
          <w:rStyle w:val="Enfasicorsivo"/>
          <w:color w:val="000000"/>
        </w:rPr>
        <w:t xml:space="preserve">turn </w:t>
      </w:r>
      <w:proofErr w:type="spellStart"/>
      <w:r w:rsidRPr="007942FC">
        <w:rPr>
          <w:rStyle w:val="Enfasicorsivo"/>
          <w:color w:val="000000"/>
        </w:rPr>
        <w:t>over</w:t>
      </w:r>
      <w:proofErr w:type="spellEnd"/>
      <w:r w:rsidRPr="007942FC">
        <w:rPr>
          <w:rStyle w:val="apple-converted-space"/>
          <w:i/>
          <w:iCs/>
          <w:color w:val="000000"/>
        </w:rPr>
        <w:t> </w:t>
      </w:r>
      <w:r w:rsidRPr="007942FC">
        <w:rPr>
          <w:color w:val="000000"/>
        </w:rPr>
        <w:t>e alla razionalizzazione dei vincoli previsti per la spesa di personale anche degli enti territoriali, promuovendo al contempo interventi volti a favorire la qualificazione del personale e una migliore allocazione della spesa, in linea con gli obiettivi di rafforzamento della qualità e dell'efficienza delle pubbliche amministrazioni perseguiti dalla riforma avviata dalla legge 7 agosto 2015, n.</w:t>
      </w:r>
      <w:r w:rsidRPr="007942FC">
        <w:rPr>
          <w:color w:val="000000"/>
        </w:rPr>
        <w:t> </w:t>
      </w:r>
      <w:r w:rsidRPr="007942FC">
        <w:rPr>
          <w:color w:val="000000"/>
        </w:rPr>
        <w:t>124.</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7942FC"/>
    <w:rsid w:val="0019487D"/>
    <w:rsid w:val="002472D8"/>
    <w:rsid w:val="007942FC"/>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Normale"/>
    <w:rsid w:val="007942F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942FC"/>
    <w:rPr>
      <w:b/>
      <w:bCs/>
    </w:rPr>
  </w:style>
  <w:style w:type="character" w:customStyle="1" w:styleId="apple-converted-space">
    <w:name w:val="apple-converted-space"/>
    <w:basedOn w:val="Carpredefinitoparagrafo"/>
    <w:rsid w:val="007942FC"/>
  </w:style>
  <w:style w:type="paragraph" w:customStyle="1" w:styleId="parere">
    <w:name w:val="parere"/>
    <w:basedOn w:val="Normale"/>
    <w:rsid w:val="007942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7942F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umeropagina">
    <w:name w:val="numeropagina"/>
    <w:basedOn w:val="Carpredefinitoparagrafo"/>
    <w:rsid w:val="007942FC"/>
  </w:style>
  <w:style w:type="character" w:styleId="Enfasicorsivo">
    <w:name w:val="Emphasis"/>
    <w:basedOn w:val="Carpredefinitoparagrafo"/>
    <w:uiPriority w:val="20"/>
    <w:qFormat/>
    <w:rsid w:val="007942FC"/>
    <w:rPr>
      <w:i/>
      <w:iCs/>
    </w:rPr>
  </w:style>
  <w:style w:type="paragraph" w:customStyle="1" w:styleId="center">
    <w:name w:val="center"/>
    <w:basedOn w:val="Normale"/>
    <w:rsid w:val="007942F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9348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4199</Words>
  <Characters>23936</Characters>
  <Application>Microsoft Office Word</Application>
  <DocSecurity>0</DocSecurity>
  <Lines>199</Lines>
  <Paragraphs>56</Paragraphs>
  <ScaleCrop>false</ScaleCrop>
  <Company/>
  <LinksUpToDate>false</LinksUpToDate>
  <CharactersWithSpaces>28079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2016-04-20T09:06:00Z</dcterms:created>
  <dcterms:modified xsi:type="dcterms:W3CDTF">2016-04-20T09:07:00Z</dcterms:modified>
</cp:coreProperties>
</file>