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16" w:rsidRPr="00C06316" w:rsidRDefault="00C06316" w:rsidP="00C06316">
      <w:pPr>
        <w:spacing w:after="0" w:line="240" w:lineRule="auto"/>
        <w:jc w:val="center"/>
        <w:rPr>
          <w:rFonts w:ascii="Trebuchet MS" w:eastAsia="Times New Roman" w:hAnsi="Trebuchet MS" w:cs="Times New Roman"/>
          <w:b/>
          <w:bCs/>
          <w:color w:val="000000"/>
          <w:sz w:val="20"/>
          <w:szCs w:val="20"/>
          <w:lang w:eastAsia="it-IT"/>
        </w:rPr>
      </w:pPr>
      <w:r w:rsidRPr="00C06316">
        <w:rPr>
          <w:rFonts w:ascii="Trebuchet MS" w:eastAsia="Times New Roman" w:hAnsi="Trebuchet MS" w:cs="Times New Roman"/>
          <w:b/>
          <w:bCs/>
          <w:color w:val="000000"/>
          <w:sz w:val="20"/>
          <w:szCs w:val="20"/>
          <w:lang w:eastAsia="it-IT"/>
        </w:rPr>
        <w:t>CAMERA DEI DEPUTATI</w:t>
      </w:r>
    </w:p>
    <w:p w:rsidR="00C06316" w:rsidRPr="00C06316" w:rsidRDefault="00C06316" w:rsidP="00C06316">
      <w:pPr>
        <w:spacing w:after="0" w:line="240" w:lineRule="auto"/>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color w:val="333333"/>
          <w:sz w:val="20"/>
          <w:szCs w:val="20"/>
          <w:lang w:eastAsia="it-IT"/>
        </w:rPr>
        <w:t>Mercoledì 24 febbraio 2016</w:t>
      </w:r>
    </w:p>
    <w:p w:rsidR="00C06316" w:rsidRDefault="00C06316" w:rsidP="00C06316">
      <w:pPr>
        <w:spacing w:after="0" w:line="240" w:lineRule="auto"/>
        <w:jc w:val="center"/>
        <w:rPr>
          <w:rFonts w:ascii="Trebuchet MS" w:eastAsia="Times New Roman" w:hAnsi="Trebuchet MS" w:cs="Times New Roman"/>
          <w:color w:val="000000"/>
          <w:sz w:val="13"/>
          <w:szCs w:val="13"/>
          <w:lang w:eastAsia="it-IT"/>
        </w:rPr>
      </w:pPr>
    </w:p>
    <w:p w:rsidR="00C06316" w:rsidRDefault="00C06316" w:rsidP="00C06316">
      <w:pPr>
        <w:spacing w:after="0" w:line="240" w:lineRule="auto"/>
        <w:jc w:val="center"/>
        <w:rPr>
          <w:rFonts w:ascii="Trebuchet MS" w:eastAsia="Times New Roman" w:hAnsi="Trebuchet MS" w:cs="Times New Roman"/>
          <w:color w:val="000000"/>
          <w:sz w:val="13"/>
          <w:szCs w:val="13"/>
          <w:lang w:eastAsia="it-IT"/>
        </w:rPr>
      </w:pPr>
    </w:p>
    <w:p w:rsidR="00C06316" w:rsidRPr="00C06316" w:rsidRDefault="00C06316" w:rsidP="00C06316">
      <w:pPr>
        <w:spacing w:after="0" w:line="240" w:lineRule="auto"/>
        <w:jc w:val="center"/>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color w:val="000000"/>
          <w:sz w:val="20"/>
          <w:szCs w:val="20"/>
          <w:lang w:eastAsia="it-IT"/>
        </w:rPr>
        <w:t>XVII LEGISLATURA</w:t>
      </w:r>
    </w:p>
    <w:p w:rsidR="00C06316" w:rsidRPr="00C06316" w:rsidRDefault="00C06316" w:rsidP="00C06316">
      <w:pPr>
        <w:spacing w:after="0" w:line="240" w:lineRule="auto"/>
        <w:jc w:val="center"/>
        <w:rPr>
          <w:rFonts w:ascii="Trebuchet MS" w:eastAsia="Times New Roman" w:hAnsi="Trebuchet MS" w:cs="Times New Roman"/>
          <w:b/>
          <w:bCs/>
          <w:color w:val="000000"/>
          <w:sz w:val="20"/>
          <w:szCs w:val="20"/>
          <w:lang w:eastAsia="it-IT"/>
        </w:rPr>
      </w:pPr>
      <w:r w:rsidRPr="00C06316">
        <w:rPr>
          <w:rFonts w:ascii="Trebuchet MS" w:eastAsia="Times New Roman" w:hAnsi="Trebuchet MS" w:cs="Times New Roman"/>
          <w:b/>
          <w:bCs/>
          <w:color w:val="000000"/>
          <w:sz w:val="20"/>
          <w:szCs w:val="20"/>
          <w:lang w:eastAsia="it-IT"/>
        </w:rPr>
        <w:t>BOLLETTINO</w:t>
      </w:r>
      <w:r w:rsidRPr="00C06316">
        <w:rPr>
          <w:rFonts w:ascii="Trebuchet MS" w:eastAsia="Times New Roman" w:hAnsi="Trebuchet MS" w:cs="Times New Roman"/>
          <w:b/>
          <w:bCs/>
          <w:color w:val="000000"/>
          <w:sz w:val="20"/>
          <w:szCs w:val="20"/>
          <w:lang w:eastAsia="it-IT"/>
        </w:rPr>
        <w:br/>
        <w:t>DELLE GIUNTE E DELLE COMMISSIONI PARLAMENTARI</w:t>
      </w:r>
    </w:p>
    <w:p w:rsidR="00C06316" w:rsidRPr="00C06316" w:rsidRDefault="00C06316" w:rsidP="00C06316">
      <w:pPr>
        <w:spacing w:after="0" w:line="240" w:lineRule="auto"/>
        <w:jc w:val="center"/>
        <w:rPr>
          <w:rFonts w:ascii="Trebuchet MS" w:eastAsia="Times New Roman" w:hAnsi="Trebuchet MS" w:cs="Times New Roman"/>
          <w:b/>
          <w:bCs/>
          <w:color w:val="000000"/>
          <w:sz w:val="20"/>
          <w:szCs w:val="20"/>
          <w:lang w:eastAsia="it-IT"/>
        </w:rPr>
      </w:pPr>
      <w:r w:rsidRPr="00C06316">
        <w:rPr>
          <w:rFonts w:ascii="Trebuchet MS" w:eastAsia="Times New Roman" w:hAnsi="Trebuchet MS" w:cs="Times New Roman"/>
          <w:b/>
          <w:bCs/>
          <w:color w:val="000000"/>
          <w:sz w:val="20"/>
          <w:szCs w:val="20"/>
          <w:lang w:eastAsia="it-IT"/>
        </w:rPr>
        <w:t>Lavoro pubblico e privato (XI)</w:t>
      </w:r>
    </w:p>
    <w:p w:rsidR="00C06316" w:rsidRPr="00C06316" w:rsidRDefault="00C06316" w:rsidP="00C06316">
      <w:pPr>
        <w:spacing w:after="0" w:line="240" w:lineRule="auto"/>
        <w:jc w:val="center"/>
        <w:rPr>
          <w:rFonts w:ascii="Trebuchet MS" w:eastAsia="Times New Roman" w:hAnsi="Trebuchet MS" w:cs="Times New Roman"/>
          <w:b/>
          <w:bCs/>
          <w:color w:val="000000"/>
          <w:sz w:val="20"/>
          <w:szCs w:val="20"/>
          <w:lang w:eastAsia="it-IT"/>
        </w:rPr>
      </w:pPr>
      <w:r w:rsidRPr="00C06316">
        <w:rPr>
          <w:rFonts w:ascii="Trebuchet MS" w:eastAsia="Times New Roman" w:hAnsi="Trebuchet MS" w:cs="Times New Roman"/>
          <w:b/>
          <w:bCs/>
          <w:color w:val="000000"/>
          <w:sz w:val="20"/>
          <w:szCs w:val="20"/>
          <w:lang w:eastAsia="it-IT"/>
        </w:rPr>
        <w:t>ALLEGATO</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b/>
          <w:bCs/>
          <w:color w:val="000000"/>
          <w:sz w:val="20"/>
          <w:szCs w:val="20"/>
          <w:lang w:eastAsia="it-IT"/>
        </w:rPr>
        <w:t>ALLEGATO 1</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b/>
          <w:bCs/>
          <w:color w:val="000000"/>
          <w:sz w:val="20"/>
          <w:szCs w:val="20"/>
          <w:lang w:eastAsia="it-IT"/>
        </w:rPr>
        <w:t xml:space="preserve">Delega al Governo recante disposizioni per l'efficienza del processo civile (nuovo testo C. 2953 Governo e </w:t>
      </w:r>
      <w:proofErr w:type="spellStart"/>
      <w:r w:rsidRPr="00C06316">
        <w:rPr>
          <w:rFonts w:ascii="Trebuchet MS" w:eastAsia="Times New Roman" w:hAnsi="Trebuchet MS" w:cs="Times New Roman"/>
          <w:b/>
          <w:bCs/>
          <w:color w:val="000000"/>
          <w:sz w:val="20"/>
          <w:szCs w:val="20"/>
          <w:lang w:eastAsia="it-IT"/>
        </w:rPr>
        <w:t>abb</w:t>
      </w:r>
      <w:proofErr w:type="spellEnd"/>
      <w:r w:rsidRPr="00C06316">
        <w:rPr>
          <w:rFonts w:ascii="Trebuchet MS" w:eastAsia="Times New Roman" w:hAnsi="Trebuchet MS" w:cs="Times New Roman"/>
          <w:b/>
          <w:bCs/>
          <w:color w:val="000000"/>
          <w:sz w:val="20"/>
          <w:szCs w:val="20"/>
          <w:lang w:eastAsia="it-IT"/>
        </w:rPr>
        <w:t>.).</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13"/>
          <w:szCs w:val="13"/>
          <w:lang w:eastAsia="it-IT"/>
        </w:rPr>
      </w:pPr>
      <w:r w:rsidRPr="00C06316">
        <w:rPr>
          <w:rFonts w:ascii="Trebuchet MS" w:eastAsia="Times New Roman" w:hAnsi="Trebuchet MS" w:cs="Times New Roman"/>
          <w:b/>
          <w:bCs/>
          <w:color w:val="000000"/>
          <w:sz w:val="20"/>
          <w:szCs w:val="20"/>
          <w:lang w:eastAsia="it-IT"/>
        </w:rPr>
        <w:t>PARERE APPROVATO</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color w:val="000000"/>
          <w:sz w:val="16"/>
          <w:szCs w:val="16"/>
          <w:lang w:eastAsia="it-IT"/>
        </w:rPr>
        <w:t> </w:t>
      </w:r>
      <w:r w:rsidRPr="00C06316">
        <w:rPr>
          <w:rFonts w:ascii="Trebuchet MS" w:eastAsia="Times New Roman" w:hAnsi="Trebuchet MS" w:cs="Times New Roman"/>
          <w:color w:val="000000"/>
          <w:sz w:val="16"/>
          <w:szCs w:val="16"/>
          <w:lang w:eastAsia="it-IT"/>
        </w:rPr>
        <w:t> </w:t>
      </w:r>
      <w:r w:rsidRPr="00C06316">
        <w:rPr>
          <w:rFonts w:ascii="Trebuchet MS" w:eastAsia="Times New Roman" w:hAnsi="Trebuchet MS" w:cs="Times New Roman"/>
          <w:color w:val="000000"/>
          <w:sz w:val="20"/>
          <w:szCs w:val="20"/>
          <w:lang w:eastAsia="it-IT"/>
        </w:rPr>
        <w:t>La XI Commissione,</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esaminati, per quanto di competenza, il nuovo testo del disegno di legge Atto Camera 2953, recante delega al Governo per l'efficienza del processo civile, e l'abbinata proposta di legge Atto Camera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2921;</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apprezzate le finalità complessive del provvedimento, che intende razionalizzare le norme che disciplinano il processo civile allo scopo di renderlo più spedito e più comprensibile da tutte le parti interessate, riducendo, laddove possibile, la frammentazione delle norme e delle competenze;</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considerato che il miglioramento dell'efficienza della giustizia civile e la riduzione della durata dei procedimenti rappresentano obiettivi più volte indicati anche dalle Istituzioni europee ed internazionali nel quadro delle misure volte ad assicurare la competitività del nostro sistema economico, con positive ricadute anche in termini occupazionali;</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osservato che, nell'ambito della delega, prevista dal comma 2 dell'articolo 1, relativa al riassetto formale e sostanziale del codice di procedura civile e della correlata legislazione speciale, in funzione degli obiettivi di semplificazione, speditezza e razionalizzazione del processo civile, il criterio direttivo di cui al numero 3</w:t>
      </w:r>
      <w:r w:rsidRPr="00120F81">
        <w:rPr>
          <w:rFonts w:ascii="Trebuchet MS" w:eastAsia="Times New Roman" w:hAnsi="Trebuchet MS" w:cs="Times New Roman"/>
          <w:i/>
          <w:iCs/>
          <w:color w:val="000000"/>
          <w:sz w:val="20"/>
          <w:szCs w:val="20"/>
          <w:lang w:eastAsia="it-IT"/>
        </w:rPr>
        <w:t>-bis</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della lettera a) delega il Governo a prevedere, fermo restando quanto disposto dall'articolo 412</w:t>
      </w:r>
      <w:r w:rsidRPr="00120F81">
        <w:rPr>
          <w:rFonts w:ascii="Trebuchet MS" w:eastAsia="Times New Roman" w:hAnsi="Trebuchet MS" w:cs="Times New Roman"/>
          <w:i/>
          <w:iCs/>
          <w:color w:val="000000"/>
          <w:sz w:val="20"/>
          <w:szCs w:val="20"/>
          <w:lang w:eastAsia="it-IT"/>
        </w:rPr>
        <w:t>-ter</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del codice di procedura civile, la possibilità di ricorrere alla negoziazione assistita di cui al decreto-legge 12 settembre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132, convertito, con modificazioni, dalla legge 10 novembre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162, anche per le controversie di cui all'articolo 409 del codice di procedura civile, prevedendo che la negoziazione stessa debba essere curata da avvocati;</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rilevato che, a legislazione vigente, l'articolo 2, comma 2, lettera</w:t>
      </w:r>
      <w:r w:rsidRPr="00120F81">
        <w:rPr>
          <w:rFonts w:ascii="Trebuchet MS" w:eastAsia="Times New Roman" w:hAnsi="Trebuchet MS" w:cs="Times New Roman"/>
          <w:color w:val="000000"/>
          <w:sz w:val="20"/>
          <w:szCs w:val="20"/>
          <w:lang w:eastAsia="it-IT"/>
        </w:rPr>
        <w:t> </w:t>
      </w:r>
      <w:r w:rsidRPr="00120F81">
        <w:rPr>
          <w:rFonts w:ascii="Trebuchet MS" w:eastAsia="Times New Roman" w:hAnsi="Trebuchet MS" w:cs="Times New Roman"/>
          <w:i/>
          <w:iCs/>
          <w:color w:val="000000"/>
          <w:sz w:val="20"/>
          <w:szCs w:val="20"/>
          <w:lang w:eastAsia="it-IT"/>
        </w:rPr>
        <w:t>b)</w:t>
      </w:r>
      <w:r w:rsidRPr="00C06316">
        <w:rPr>
          <w:rFonts w:ascii="Trebuchet MS" w:eastAsia="Times New Roman" w:hAnsi="Trebuchet MS" w:cs="Times New Roman"/>
          <w:color w:val="000000"/>
          <w:sz w:val="20"/>
          <w:szCs w:val="20"/>
          <w:lang w:eastAsia="it-IT"/>
        </w:rPr>
        <w:t>, del decreto-legge 12 settembre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132, convertito, con modificazioni, dalla legge 10 novembre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162, nel disciplinare il ricorso alla negoziazione assistita da uno o più avvocati, precisa che l'oggetto della controversia devoluta alla negoziazione non deve riguardare diritti indisponibili o vertere in materia di lavoro;</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rilevato che questa Commissione, nel parere espresso il 29 ottobre 2014 sul disegno di legge Atto Camera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2681, di conversione del decreto-legge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xml:space="preserve">132 del 2014, formulò un'osservazione volta a sollecitare la Commissione di merito a verificare la possibilità di individuare forme di risoluzione in via amichevole delle controversie vertenti su materia di lavoro che salvaguardino l'esigenza di garantire la </w:t>
      </w:r>
      <w:proofErr w:type="spellStart"/>
      <w:r w:rsidRPr="00C06316">
        <w:rPr>
          <w:rFonts w:ascii="Trebuchet MS" w:eastAsia="Times New Roman" w:hAnsi="Trebuchet MS" w:cs="Times New Roman"/>
          <w:color w:val="000000"/>
          <w:sz w:val="20"/>
          <w:szCs w:val="20"/>
          <w:lang w:eastAsia="it-IT"/>
        </w:rPr>
        <w:t>terzietà</w:t>
      </w:r>
      <w:proofErr w:type="spellEnd"/>
      <w:r w:rsidRPr="00C06316">
        <w:rPr>
          <w:rFonts w:ascii="Trebuchet MS" w:eastAsia="Times New Roman" w:hAnsi="Trebuchet MS" w:cs="Times New Roman"/>
          <w:color w:val="000000"/>
          <w:sz w:val="20"/>
          <w:szCs w:val="20"/>
          <w:lang w:eastAsia="it-IT"/>
        </w:rPr>
        <w:t xml:space="preserve"> degli operatori incaricati di assistere le parti nella risoluzione delle controversie e di rimettere in ogni caso alla sede giudiziaria le controversie che abbiano ad oggetto diritti indisponibili;</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xml:space="preserve">ritenuto che nell'individuazione di forme di definizione stragiudiziale delle controversie si debba tenere adeguatamente conto delle peculiarità della materia </w:t>
      </w:r>
      <w:proofErr w:type="spellStart"/>
      <w:r w:rsidRPr="00C06316">
        <w:rPr>
          <w:rFonts w:ascii="Trebuchet MS" w:eastAsia="Times New Roman" w:hAnsi="Trebuchet MS" w:cs="Times New Roman"/>
          <w:color w:val="000000"/>
          <w:sz w:val="20"/>
          <w:szCs w:val="20"/>
          <w:lang w:eastAsia="it-IT"/>
        </w:rPr>
        <w:t>lavoristica</w:t>
      </w:r>
      <w:proofErr w:type="spellEnd"/>
      <w:r w:rsidRPr="00C06316">
        <w:rPr>
          <w:rFonts w:ascii="Trebuchet MS" w:eastAsia="Times New Roman" w:hAnsi="Trebuchet MS" w:cs="Times New Roman"/>
          <w:color w:val="000000"/>
          <w:sz w:val="20"/>
          <w:szCs w:val="20"/>
          <w:lang w:eastAsia="it-IT"/>
        </w:rPr>
        <w:t>, nella quale alle parti sociali è affidato un insostituibile ruolo di mediazione nelle controversie tra lavoratori e datori di lavoro;</w:t>
      </w:r>
      <w:proofErr w:type="spellStart"/>
      <w:r w:rsidRPr="00120F81">
        <w:rPr>
          <w:rFonts w:ascii="Trebuchet MS" w:eastAsia="Times New Roman" w:hAnsi="Trebuchet MS" w:cs="Times New Roman"/>
          <w:color w:val="333333"/>
          <w:sz w:val="20"/>
          <w:szCs w:val="20"/>
          <w:lang w:eastAsia="it-IT"/>
        </w:rPr>
        <w:t>Pag</w:t>
      </w:r>
      <w:proofErr w:type="spellEnd"/>
      <w:r w:rsidRPr="00120F81">
        <w:rPr>
          <w:rFonts w:ascii="Trebuchet MS" w:eastAsia="Times New Roman" w:hAnsi="Trebuchet MS" w:cs="Times New Roman"/>
          <w:color w:val="333333"/>
          <w:sz w:val="20"/>
          <w:szCs w:val="20"/>
          <w:lang w:eastAsia="it-IT"/>
        </w:rPr>
        <w:t>. 110</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rilevato che l'articolo 1</w:t>
      </w:r>
      <w:r w:rsidRPr="00120F81">
        <w:rPr>
          <w:rFonts w:ascii="Trebuchet MS" w:eastAsia="Times New Roman" w:hAnsi="Trebuchet MS" w:cs="Times New Roman"/>
          <w:i/>
          <w:iCs/>
          <w:color w:val="000000"/>
          <w:sz w:val="20"/>
          <w:szCs w:val="20"/>
          <w:lang w:eastAsia="it-IT"/>
        </w:rPr>
        <w:t>-bis</w:t>
      </w:r>
      <w:r w:rsidRPr="00C06316">
        <w:rPr>
          <w:rFonts w:ascii="Trebuchet MS" w:eastAsia="Times New Roman" w:hAnsi="Trebuchet MS" w:cs="Times New Roman"/>
          <w:color w:val="000000"/>
          <w:sz w:val="20"/>
          <w:szCs w:val="20"/>
          <w:lang w:eastAsia="it-IT"/>
        </w:rPr>
        <w:t>, comma 1, abroga la disciplina sulle controversie aventi ad oggetto l'impugnativa dei licenziamenti, recata dall'articolo 1, commi da 48 a 68, della legge 28 giugno 2012,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92;</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osservato che l'articolo 11 del decreto legislativo 4 marzo 2015,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23, recante disposizioni in materia di contratto di lavoro a tempo indeterminato a tutele crescenti, già aveva disposto che ai licenziamenti disciplinati dal medesimo decreto non si applicassero le disposizioni processuali di cui ai commi da 48 a 68 dell'articolo 1 della legge 28 giugno 2012,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92;</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considerato che, nel corso dell'esame dello schema di tale ultimo decreto legislativo presso questa Commissione, si richiamò l'esigenza di valutare l'opportunità di un intervento organico sulla disciplina dei giudizi nei quali si controverte sulla validità, sull'efficacia o sulla legittimità dei licenziamenti, ai sensi dell'articolo 18 dello Statuto dei lavoratori, al fine di escludere la previsione di due riti alternativi in base alla data di assunzione dei lavoratori licenziati;</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rilevato che il comma 2 dell'articolo 1</w:t>
      </w:r>
      <w:r w:rsidRPr="00120F81">
        <w:rPr>
          <w:rFonts w:ascii="Trebuchet MS" w:eastAsia="Times New Roman" w:hAnsi="Trebuchet MS" w:cs="Times New Roman"/>
          <w:i/>
          <w:iCs/>
          <w:color w:val="000000"/>
          <w:sz w:val="20"/>
          <w:szCs w:val="20"/>
          <w:lang w:eastAsia="it-IT"/>
        </w:rPr>
        <w:t>-bis</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xml:space="preserve">stabilisce che alla trattazione dei giudizi nei quali si </w:t>
      </w:r>
      <w:r w:rsidRPr="00C06316">
        <w:rPr>
          <w:rFonts w:ascii="Trebuchet MS" w:eastAsia="Times New Roman" w:hAnsi="Trebuchet MS" w:cs="Times New Roman"/>
          <w:color w:val="000000"/>
          <w:sz w:val="20"/>
          <w:szCs w:val="20"/>
          <w:lang w:eastAsia="it-IT"/>
        </w:rPr>
        <w:lastRenderedPageBreak/>
        <w:t>controverte sulla validità, sull'efficacia o sulla legittimità dei licenziamenti ai sensi dell'articolo 18 della legge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300 del 1970 siano riservati specifici giorni nel calendario delle udienze del giudice, che deve trattarli e definirli con particolare speditezza, e il successivo comma 3 prevede che i dirigenti degli uffici giudiziari vigilino sull'osservanza di tale previsione,</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esprime</w:t>
      </w:r>
    </w:p>
    <w:p w:rsidR="00C06316" w:rsidRPr="00C06316" w:rsidRDefault="00C06316" w:rsidP="00C06316">
      <w:pPr>
        <w:spacing w:before="100" w:beforeAutospacing="1" w:after="100" w:afterAutospacing="1" w:line="240" w:lineRule="auto"/>
        <w:jc w:val="center"/>
        <w:rPr>
          <w:rFonts w:ascii="Trebuchet MS" w:eastAsia="Times New Roman" w:hAnsi="Trebuchet MS" w:cs="Times New Roman"/>
          <w:color w:val="000000"/>
          <w:sz w:val="20"/>
          <w:szCs w:val="20"/>
          <w:lang w:eastAsia="it-IT"/>
        </w:rPr>
      </w:pPr>
      <w:r w:rsidRPr="00C06316">
        <w:rPr>
          <w:rFonts w:ascii="Trebuchet MS" w:eastAsia="Times New Roman" w:hAnsi="Trebuchet MS" w:cs="Times New Roman"/>
          <w:color w:val="000000"/>
          <w:sz w:val="20"/>
          <w:szCs w:val="20"/>
          <w:lang w:eastAsia="it-IT"/>
        </w:rPr>
        <w:t>PARERE FAVOREVOLE</w:t>
      </w:r>
    </w:p>
    <w:p w:rsidR="00C06316" w:rsidRPr="00C06316" w:rsidRDefault="00C06316" w:rsidP="00C06316">
      <w:pPr>
        <w:spacing w:before="100" w:beforeAutospacing="1" w:after="100" w:afterAutospacing="1" w:line="240" w:lineRule="auto"/>
        <w:rPr>
          <w:rFonts w:ascii="Trebuchet MS" w:eastAsia="Times New Roman" w:hAnsi="Trebuchet MS" w:cs="Times New Roman"/>
          <w:color w:val="000000"/>
          <w:sz w:val="20"/>
          <w:szCs w:val="20"/>
          <w:lang w:eastAsia="it-IT"/>
        </w:rPr>
      </w:pPr>
      <w:r w:rsidRPr="00120F81">
        <w:rPr>
          <w:rFonts w:ascii="Trebuchet MS" w:eastAsia="Times New Roman" w:hAnsi="Trebuchet MS" w:cs="Times New Roman"/>
          <w:i/>
          <w:iCs/>
          <w:color w:val="000000"/>
          <w:sz w:val="20"/>
          <w:szCs w:val="20"/>
          <w:lang w:eastAsia="it-IT"/>
        </w:rPr>
        <w:t>con la seguente condizione:</w:t>
      </w:r>
      <w:r w:rsidRPr="00120F81">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br/>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all'articolo 1, comma 2, lettera</w:t>
      </w:r>
      <w:r w:rsidRPr="00120F81">
        <w:rPr>
          <w:rFonts w:ascii="Trebuchet MS" w:eastAsia="Times New Roman" w:hAnsi="Trebuchet MS" w:cs="Times New Roman"/>
          <w:color w:val="000000"/>
          <w:sz w:val="20"/>
          <w:szCs w:val="20"/>
          <w:lang w:eastAsia="it-IT"/>
        </w:rPr>
        <w:t> </w:t>
      </w:r>
      <w:r w:rsidRPr="00120F81">
        <w:rPr>
          <w:rFonts w:ascii="Trebuchet MS" w:eastAsia="Times New Roman" w:hAnsi="Trebuchet MS" w:cs="Times New Roman"/>
          <w:i/>
          <w:iCs/>
          <w:color w:val="000000"/>
          <w:sz w:val="20"/>
          <w:szCs w:val="20"/>
          <w:lang w:eastAsia="it-IT"/>
        </w:rPr>
        <w:t>a)</w:t>
      </w:r>
      <w:r w:rsidRPr="00C06316">
        <w:rPr>
          <w:rFonts w:ascii="Trebuchet MS" w:eastAsia="Times New Roman" w:hAnsi="Trebuchet MS" w:cs="Times New Roman"/>
          <w:color w:val="000000"/>
          <w:sz w:val="20"/>
          <w:szCs w:val="20"/>
          <w:lang w:eastAsia="it-IT"/>
        </w:rPr>
        <w:t>, sia soppresso il numero 3-bis) o, quanto meno, sia previsto che il ricorso alla negoziazione assistita da uno o più avvocati di cui al decreto-legge 12 settembre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132, convertito, con modificazioni, dalla legge 10 novembre 2014, n.</w:t>
      </w:r>
      <w:r w:rsidRPr="00C06316">
        <w:rPr>
          <w:rFonts w:ascii="Trebuchet MS" w:eastAsia="Times New Roman" w:hAnsi="Trebuchet MS" w:cs="Times New Roman"/>
          <w:color w:val="000000"/>
          <w:sz w:val="20"/>
          <w:szCs w:val="20"/>
          <w:lang w:eastAsia="it-IT"/>
        </w:rPr>
        <w:t> </w:t>
      </w:r>
      <w:r w:rsidRPr="00C06316">
        <w:rPr>
          <w:rFonts w:ascii="Trebuchet MS" w:eastAsia="Times New Roman" w:hAnsi="Trebuchet MS" w:cs="Times New Roman"/>
          <w:color w:val="000000"/>
          <w:sz w:val="20"/>
          <w:szCs w:val="20"/>
          <w:lang w:eastAsia="it-IT"/>
        </w:rPr>
        <w:t>162, nelle cause che vertano in materia di lavoro sia ammesso entro limiti previsti dai contratti collettivi sottoscritti dalle associazioni sindacali maggiormente rappresentative, fermo restando, in ogni caso, che l'oggetto della controversia devoluta alla negoziazione non debba riguardare diritti indisponibili.</w:t>
      </w:r>
    </w:p>
    <w:p w:rsidR="00D17DEC" w:rsidRPr="00C06316" w:rsidRDefault="00D17DEC">
      <w:pPr>
        <w:rPr>
          <w:sz w:val="16"/>
          <w:szCs w:val="16"/>
        </w:rPr>
      </w:pPr>
    </w:p>
    <w:sectPr w:rsidR="00D17DEC" w:rsidRPr="00C06316"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08"/>
  <w:hyphenationZone w:val="283"/>
  <w:characterSpacingControl w:val="doNotCompress"/>
  <w:compat/>
  <w:rsids>
    <w:rsidRoot w:val="00C06316"/>
    <w:rsid w:val="00120F81"/>
    <w:rsid w:val="002472D8"/>
    <w:rsid w:val="00C06316"/>
    <w:rsid w:val="00D17DEC"/>
    <w:rsid w:val="00DA3A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ata">
    <w:name w:val="data"/>
    <w:basedOn w:val="Carpredefinitoparagrafo"/>
    <w:rsid w:val="00C06316"/>
  </w:style>
  <w:style w:type="character" w:customStyle="1" w:styleId="numero">
    <w:name w:val="numero"/>
    <w:basedOn w:val="Carpredefinitoparagrafo"/>
    <w:rsid w:val="00C06316"/>
  </w:style>
  <w:style w:type="paragraph" w:customStyle="1" w:styleId="sede">
    <w:name w:val="sede"/>
    <w:basedOn w:val="Normale"/>
    <w:rsid w:val="00C063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06316"/>
    <w:rPr>
      <w:b/>
      <w:bCs/>
    </w:rPr>
  </w:style>
  <w:style w:type="paragraph" w:customStyle="1" w:styleId="titolo">
    <w:name w:val="titolo"/>
    <w:basedOn w:val="Normale"/>
    <w:rsid w:val="00C0631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ere">
    <w:name w:val="parere"/>
    <w:basedOn w:val="Normale"/>
    <w:rsid w:val="00C0631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C063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C06316"/>
  </w:style>
  <w:style w:type="character" w:styleId="Enfasicorsivo">
    <w:name w:val="Emphasis"/>
    <w:basedOn w:val="Carpredefinitoparagrafo"/>
    <w:uiPriority w:val="20"/>
    <w:qFormat/>
    <w:rsid w:val="00C06316"/>
    <w:rPr>
      <w:i/>
      <w:iCs/>
    </w:rPr>
  </w:style>
  <w:style w:type="character" w:customStyle="1" w:styleId="numeropagina">
    <w:name w:val="numeropagina"/>
    <w:basedOn w:val="Carpredefinitoparagrafo"/>
    <w:rsid w:val="00C06316"/>
  </w:style>
  <w:style w:type="paragraph" w:customStyle="1" w:styleId="center">
    <w:name w:val="center"/>
    <w:basedOn w:val="Normale"/>
    <w:rsid w:val="00C0631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85106286">
      <w:bodyDiv w:val="1"/>
      <w:marLeft w:val="0"/>
      <w:marRight w:val="0"/>
      <w:marTop w:val="0"/>
      <w:marBottom w:val="0"/>
      <w:divBdr>
        <w:top w:val="none" w:sz="0" w:space="0" w:color="auto"/>
        <w:left w:val="none" w:sz="0" w:space="0" w:color="auto"/>
        <w:bottom w:val="none" w:sz="0" w:space="0" w:color="auto"/>
        <w:right w:val="none" w:sz="0" w:space="0" w:color="auto"/>
      </w:divBdr>
      <w:divsChild>
        <w:div w:id="1417019530">
          <w:marLeft w:val="0"/>
          <w:marRight w:val="0"/>
          <w:marTop w:val="0"/>
          <w:marBottom w:val="0"/>
          <w:divBdr>
            <w:top w:val="none" w:sz="0" w:space="0" w:color="auto"/>
            <w:left w:val="none" w:sz="0" w:space="0" w:color="auto"/>
            <w:bottom w:val="none" w:sz="0" w:space="0" w:color="auto"/>
            <w:right w:val="none" w:sz="0" w:space="0" w:color="auto"/>
          </w:divBdr>
        </w:div>
        <w:div w:id="657340409">
          <w:marLeft w:val="0"/>
          <w:marRight w:val="0"/>
          <w:marTop w:val="0"/>
          <w:marBottom w:val="0"/>
          <w:divBdr>
            <w:top w:val="none" w:sz="0" w:space="0" w:color="auto"/>
            <w:left w:val="none" w:sz="0" w:space="0" w:color="auto"/>
            <w:bottom w:val="none" w:sz="0" w:space="0" w:color="auto"/>
            <w:right w:val="none" w:sz="0" w:space="0" w:color="auto"/>
          </w:divBdr>
        </w:div>
        <w:div w:id="1581134077">
          <w:marLeft w:val="0"/>
          <w:marRight w:val="0"/>
          <w:marTop w:val="152"/>
          <w:marBottom w:val="0"/>
          <w:divBdr>
            <w:top w:val="none" w:sz="0" w:space="0" w:color="auto"/>
            <w:left w:val="none" w:sz="0" w:space="0" w:color="auto"/>
            <w:bottom w:val="none" w:sz="0" w:space="0" w:color="auto"/>
            <w:right w:val="none" w:sz="0" w:space="0" w:color="auto"/>
          </w:divBdr>
          <w:divsChild>
            <w:div w:id="19178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2016-02-24T11:12:00Z</cp:lastPrinted>
  <dcterms:created xsi:type="dcterms:W3CDTF">2016-02-24T11:10:00Z</dcterms:created>
  <dcterms:modified xsi:type="dcterms:W3CDTF">2016-02-24T11:14:00Z</dcterms:modified>
</cp:coreProperties>
</file>