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46" w:rsidRDefault="00940D46">
      <w:pPr>
        <w:jc w:val="center"/>
        <w:rPr>
          <w:rFonts w:cs="Times New Roman"/>
          <w:b/>
          <w:bCs/>
        </w:rPr>
      </w:pPr>
    </w:p>
    <w:p w:rsidR="00940D46" w:rsidRDefault="00940D46">
      <w:pPr>
        <w:jc w:val="center"/>
        <w:rPr>
          <w:rFonts w:cs="Times New Roman"/>
          <w:b/>
          <w:bCs/>
        </w:rPr>
      </w:pPr>
    </w:p>
    <w:p w:rsidR="00940D46" w:rsidRDefault="00940D46">
      <w:pPr>
        <w:jc w:val="center"/>
        <w:rPr>
          <w:rFonts w:cs="Times New Roman"/>
          <w:b/>
          <w:bCs/>
        </w:rPr>
      </w:pPr>
    </w:p>
    <w:p w:rsidR="00940D46" w:rsidRDefault="00940D46">
      <w:pPr>
        <w:jc w:val="center"/>
        <w:rPr>
          <w:rFonts w:cs="Times New Roman"/>
          <w:b/>
          <w:bCs/>
        </w:rPr>
      </w:pPr>
    </w:p>
    <w:p w:rsidR="00940D46" w:rsidRDefault="00940D46">
      <w:pPr>
        <w:jc w:val="center"/>
        <w:rPr>
          <w:rFonts w:cs="Times New Roman"/>
          <w:b/>
          <w:bCs/>
        </w:rPr>
      </w:pPr>
    </w:p>
    <w:p w:rsidR="00940D46" w:rsidRDefault="00940D46">
      <w:pPr>
        <w:jc w:val="center"/>
        <w:rPr>
          <w:rFonts w:cs="Times New Roman"/>
          <w:b/>
          <w:bCs/>
        </w:rPr>
      </w:pPr>
    </w:p>
    <w:p w:rsidR="00940D46" w:rsidRDefault="00940D46">
      <w:pPr>
        <w:jc w:val="center"/>
        <w:rPr>
          <w:rFonts w:cs="Times New Roman"/>
          <w:b/>
          <w:bCs/>
        </w:rPr>
      </w:pPr>
    </w:p>
    <w:p w:rsidR="00940D46" w:rsidRDefault="00940D46">
      <w:pPr>
        <w:jc w:val="center"/>
        <w:rPr>
          <w:rFonts w:cs="Times New Roman"/>
          <w:b/>
          <w:bCs/>
        </w:rPr>
      </w:pPr>
    </w:p>
    <w:p w:rsidR="006D661A" w:rsidRDefault="006D661A">
      <w:pPr>
        <w:jc w:val="center"/>
        <w:rPr>
          <w:rFonts w:cs="Times New Roman"/>
          <w:b/>
          <w:bCs/>
        </w:rPr>
      </w:pPr>
      <w:r>
        <w:rPr>
          <w:rFonts w:cs="Times New Roman"/>
          <w:b/>
          <w:bCs/>
        </w:rPr>
        <w:t xml:space="preserve"> </w:t>
      </w:r>
    </w:p>
    <w:p w:rsidR="006D661A" w:rsidRDefault="006D661A">
      <w:pPr>
        <w:jc w:val="center"/>
        <w:rPr>
          <w:rFonts w:cs="Times New Roman"/>
          <w:b/>
          <w:bCs/>
        </w:rPr>
      </w:pPr>
      <w:r>
        <w:rPr>
          <w:rFonts w:cs="Times New Roman"/>
          <w:b/>
          <w:bCs/>
        </w:rPr>
        <w:t>Nota di aggiornamento del Documento di economia e finanza 2017</w:t>
      </w:r>
    </w:p>
    <w:p w:rsidR="006D661A" w:rsidRDefault="006D661A">
      <w:pPr>
        <w:jc w:val="center"/>
        <w:rPr>
          <w:rFonts w:cs="Times New Roman"/>
          <w:b/>
          <w:bCs/>
        </w:rPr>
      </w:pPr>
      <w:r>
        <w:rPr>
          <w:rFonts w:cs="Times New Roman"/>
          <w:b/>
          <w:bCs/>
        </w:rPr>
        <w:t>(Doc. LVII. n. 5-</w:t>
      </w:r>
      <w:r>
        <w:rPr>
          <w:rFonts w:cs="Times New Roman"/>
          <w:b/>
          <w:bCs/>
          <w:i/>
        </w:rPr>
        <w:t>bis</w:t>
      </w:r>
      <w:r>
        <w:rPr>
          <w:rFonts w:cs="Times New Roman"/>
          <w:b/>
          <w:bCs/>
        </w:rPr>
        <w:t>, Allegati e Annesso)</w:t>
      </w:r>
    </w:p>
    <w:p w:rsidR="006D661A" w:rsidRDefault="006D661A">
      <w:pPr>
        <w:jc w:val="center"/>
        <w:rPr>
          <w:rFonts w:cs="Times New Roman"/>
          <w:b/>
          <w:bCs/>
        </w:rPr>
      </w:pPr>
    </w:p>
    <w:p w:rsidR="006D661A" w:rsidRDefault="006D661A">
      <w:pPr>
        <w:jc w:val="center"/>
        <w:rPr>
          <w:rFonts w:cs="Times New Roman"/>
          <w:b/>
          <w:bCs/>
        </w:rPr>
      </w:pPr>
    </w:p>
    <w:p w:rsidR="006D661A" w:rsidRDefault="009963AA">
      <w:pPr>
        <w:jc w:val="center"/>
        <w:rPr>
          <w:rFonts w:cs="Times New Roman"/>
          <w:b/>
          <w:bCs/>
        </w:rPr>
      </w:pPr>
      <w:r>
        <w:rPr>
          <w:rFonts w:cs="Times New Roman"/>
          <w:b/>
          <w:bCs/>
        </w:rPr>
        <w:t>PARERE APPROVATO</w:t>
      </w:r>
    </w:p>
    <w:p w:rsidR="006D661A" w:rsidRDefault="006D661A">
      <w:pPr>
        <w:jc w:val="center"/>
        <w:rPr>
          <w:rFonts w:cs="Times New Roman"/>
          <w:b/>
          <w:bCs/>
        </w:rPr>
      </w:pPr>
    </w:p>
    <w:p w:rsidR="006D661A" w:rsidRDefault="006D661A">
      <w:pPr>
        <w:jc w:val="center"/>
        <w:rPr>
          <w:rFonts w:cs="Times New Roman"/>
          <w:b/>
          <w:bCs/>
        </w:rPr>
      </w:pPr>
    </w:p>
    <w:p w:rsidR="006D661A" w:rsidRDefault="006D661A">
      <w:pPr>
        <w:rPr>
          <w:rFonts w:cs="Times New Roman"/>
        </w:rPr>
      </w:pPr>
      <w:r>
        <w:rPr>
          <w:rFonts w:cs="Times New Roman"/>
        </w:rPr>
        <w:t xml:space="preserve">La XI Commissione, </w:t>
      </w:r>
    </w:p>
    <w:p w:rsidR="006D661A" w:rsidRDefault="006D661A">
      <w:pPr>
        <w:jc w:val="both"/>
        <w:rPr>
          <w:rFonts w:cs="Times New Roman"/>
        </w:rPr>
      </w:pPr>
      <w:r>
        <w:rPr>
          <w:rFonts w:cs="Times New Roman"/>
        </w:rPr>
        <w:tab/>
        <w:t>esaminati, per le parti di competenza, la Nota di aggiornamento del Documento di economia e finanza 2017 (Doc. LVII, n. 5-</w:t>
      </w:r>
      <w:r>
        <w:rPr>
          <w:rFonts w:cs="Times New Roman"/>
          <w:i/>
        </w:rPr>
        <w:t>bis</w:t>
      </w:r>
      <w:r>
        <w:rPr>
          <w:rFonts w:cs="Times New Roman"/>
        </w:rPr>
        <w:t xml:space="preserve">), l’annesso, recante la relazione presentata ai sensi dell'articolo 6, comma 5, della legge 24 dicembre 2012, n. 243, e </w:t>
      </w:r>
      <w:r w:rsidR="00B35DC3">
        <w:rPr>
          <w:rFonts w:cs="Times New Roman"/>
        </w:rPr>
        <w:t xml:space="preserve">i documenti </w:t>
      </w:r>
      <w:r>
        <w:rPr>
          <w:rFonts w:cs="Times New Roman"/>
        </w:rPr>
        <w:t>allegat</w:t>
      </w:r>
      <w:r w:rsidR="00B35DC3">
        <w:rPr>
          <w:rFonts w:cs="Times New Roman"/>
        </w:rPr>
        <w:t>i</w:t>
      </w:r>
      <w:r>
        <w:rPr>
          <w:rFonts w:cs="Times New Roman"/>
        </w:rPr>
        <w:t>;</w:t>
      </w:r>
    </w:p>
    <w:p w:rsidR="006D661A" w:rsidRDefault="006D661A">
      <w:pPr>
        <w:jc w:val="both"/>
        <w:rPr>
          <w:rFonts w:cs="Times New Roman"/>
        </w:rPr>
      </w:pPr>
      <w:r>
        <w:rPr>
          <w:rFonts w:cs="Times New Roman"/>
        </w:rPr>
        <w:tab/>
        <w:t>osservato che la Nota di aggiornamento costituisce l'ultimo documento di programmazione di bilancio della presente legislatura e reca, pertanto, una sintesi dell'andamento delle variabili macroeconomiche e delle finanze pubbliche, anche alla luce degli interventi di politica economica realizzati nel corso degli ultimi anni;</w:t>
      </w:r>
    </w:p>
    <w:p w:rsidR="006D661A" w:rsidRDefault="006D661A">
      <w:pPr>
        <w:jc w:val="both"/>
        <w:rPr>
          <w:rFonts w:cs="Times New Roman"/>
        </w:rPr>
      </w:pPr>
      <w:r>
        <w:rPr>
          <w:rFonts w:cs="Times New Roman"/>
        </w:rPr>
        <w:tab/>
        <w:t>considerato che, sul versante dell'andamento dell'economia, la Nota registra il consolidamento dei progressi del sistema produttivo italiano, che, in un contesto di crescita più dinamico sia a livello europeo sia a livello globale, ha portato ad una crescita del prodotto interno lordo in termini reali a un ritmo congiunturale dello 0,4 per cento in ciascuno degli ultimi tre trimestri e a un tasso di crescita tendenziale, nel secondo trimestre dell'anno in corso, di 1,5 punti percentuali;</w:t>
      </w:r>
    </w:p>
    <w:p w:rsidR="006D661A" w:rsidRDefault="006D661A">
      <w:pPr>
        <w:jc w:val="both"/>
        <w:rPr>
          <w:rFonts w:cs="Times New Roman"/>
        </w:rPr>
      </w:pPr>
      <w:r>
        <w:rPr>
          <w:rFonts w:cs="Times New Roman"/>
        </w:rPr>
        <w:tab/>
        <w:t>rilevato che la Nota evidenzia che vi sono le condizioni per un ulteriore rafforzamento della crescita, che potrebbe manifestarsi già nel corso del terzo trimestre dell'anno in corso, grazie al positivo andamento della produzione industriale e di alcuni settori dei servizi, quali, in particolare, i trasporti e il turismo;</w:t>
      </w:r>
    </w:p>
    <w:p w:rsidR="006D661A" w:rsidRDefault="006D661A">
      <w:pPr>
        <w:jc w:val="both"/>
        <w:rPr>
          <w:rFonts w:cs="Times New Roman"/>
        </w:rPr>
      </w:pPr>
      <w:r>
        <w:rPr>
          <w:rFonts w:cs="Times New Roman"/>
        </w:rPr>
        <w:tab/>
        <w:t>preso atto che, in considerazione di tale evoluzione del quadro macroeconomico, la Nota rivede al rialzo le previsioni tendenziali contenute nel Documento di economia e finanza 2017, che, come evidenziato già a suo tempo, avevano carattere prudenziale, e, in particolare, incrementa di 0,4 punti percentuali la previsione di crescita del prodotto interno lordo in termini reali per l'anno in corso, che, quindi, crescerebbe di 0,6 punti percentuali rispetto all'anno 2016;</w:t>
      </w:r>
    </w:p>
    <w:p w:rsidR="006D661A" w:rsidRDefault="006D661A">
      <w:pPr>
        <w:jc w:val="both"/>
      </w:pPr>
      <w:r>
        <w:rPr>
          <w:rFonts w:cs="Times New Roman"/>
        </w:rPr>
        <w:tab/>
        <w:t>osservato con favore che il maggior dinamismo della nostra economia si riflette positivamente anche sulle previsioni tendenziali per gli anni successivi e che, per ciascuno degli anni 2018 e il 2019, la crescita del prodotto interno lordo sarebbe pari all’1,2 per cento, a fronte delle previsioni contenute nel DEF di una crescita dell’1 per cento nel 2018 e dell’1,1 per cento nel 2019, mentre per il 2020 la crescita tendenziale del prodotto interno lordo sarebbe pari all’1,3 per cento, a fronte dell’1,1 per cento stimato dal DEF per il medesimo anno;</w:t>
      </w:r>
    </w:p>
    <w:p w:rsidR="006D661A" w:rsidRDefault="006D661A">
      <w:pPr>
        <w:jc w:val="both"/>
        <w:rPr>
          <w:rFonts w:cs="Times New Roman"/>
        </w:rPr>
      </w:pPr>
      <w:r>
        <w:tab/>
        <w:t xml:space="preserve">considerato che, a fronte di tale quadro in via di progressivo miglioramento, il Governo intende perseguire direttrici di politica economica coerenti con la linea seguita nel corso degli ultimi anni, che ha inteso coniugare l'esigenza di ridurre il disavanzo e proseguire nel percorso di consolidamento fiscale con quella di alimentare la ripresa e superare la fase di recessione seguita </w:t>
      </w:r>
      <w:r>
        <w:rPr>
          <w:rFonts w:cs="Times New Roman"/>
        </w:rPr>
        <w:t>alla crisi manifestatasi a partire dal 2008;</w:t>
      </w:r>
    </w:p>
    <w:p w:rsidR="006D661A" w:rsidRDefault="006D661A">
      <w:pPr>
        <w:jc w:val="both"/>
      </w:pPr>
      <w:r>
        <w:rPr>
          <w:rFonts w:cs="Times New Roman"/>
        </w:rPr>
        <w:tab/>
        <w:t xml:space="preserve">osservato che, secondo quanto rappresentato nella relazione presentata dal Governo ai sensi dell’articolo 6, comma 5, della legge n. 243 del 2012, il Governo ha indirizzato una lettera alla </w:t>
      </w:r>
      <w:r>
        <w:rPr>
          <w:rFonts w:cs="Times New Roman"/>
        </w:rPr>
        <w:lastRenderedPageBreak/>
        <w:t xml:space="preserve">Commissione europea in cui sottolinea l'importanza di bilanciare adeguatamente gli obiettivi della sostenibilità fiscale e del sostegno alla ripresa economica, evidenziando che un’eccessiva restrizione fiscale metterebbe a rischio la crescita economica e la coesione sociale; </w:t>
      </w:r>
    </w:p>
    <w:p w:rsidR="006D661A" w:rsidRDefault="006D661A">
      <w:pPr>
        <w:jc w:val="both"/>
        <w:rPr>
          <w:rFonts w:cs="Times New Roman"/>
        </w:rPr>
      </w:pPr>
      <w:r>
        <w:tab/>
      </w:r>
      <w:r>
        <w:rPr>
          <w:rFonts w:cs="Times New Roman"/>
        </w:rPr>
        <w:t>condivisa tale impostazione delle politiche di bilancio che, anche alla luce degli orientamenti della Commissione europea, intende sfruttare i margini di flessibilità consentiti dalle regole del patto di stabilità e crescita al fine di consolidare la fiducia e la ripresa economica seguendo un percorso più graduale di riduzione del debito e dei disavanzi pubblici;</w:t>
      </w:r>
    </w:p>
    <w:p w:rsidR="006D661A" w:rsidRDefault="006D661A">
      <w:pPr>
        <w:jc w:val="both"/>
        <w:rPr>
          <w:rFonts w:cs="Times New Roman"/>
        </w:rPr>
      </w:pPr>
      <w:r>
        <w:rPr>
          <w:rFonts w:cs="Times New Roman"/>
        </w:rPr>
        <w:tab/>
        <w:t>rilevato, in particolare, che l’aggiustamento strutturale di bilancio nel 2018 sarà ridotto dallo 0,8 per cento previsto dal DEF allo 0,3 per cento e che il nuovo percorso programmatico di avvicinamento al pareggio strutturale di bilancio prevede un indebitamento netto pari, in termini nominali, all’1,6 per cento nel 2018, allo 0,9 per cento nel 2019 e allo 0,2 per cento nel 2020;</w:t>
      </w:r>
    </w:p>
    <w:p w:rsidR="006D661A" w:rsidRDefault="006D661A">
      <w:pPr>
        <w:jc w:val="both"/>
        <w:rPr>
          <w:rFonts w:cs="Times New Roman"/>
        </w:rPr>
      </w:pPr>
      <w:r>
        <w:rPr>
          <w:rFonts w:cs="Times New Roman"/>
        </w:rPr>
        <w:tab/>
        <w:t>considerato che, per effetto dell'impostazione sostanzialmente espansiva della politica di bilancio, le previsioni programmatiche del prodotto interno lordo in termini reali registrerebbero una dinamica costantemente superiore a quella tendenziale e la crescita, stimata in misura pari all'1,5 per cento per l'anno in corso, si manterrebbe sul medesimo livello anche nei due anni successivi, per poi rallentare leggermente nel 2020, quando raggiungerebbe l'1,3 per cento;</w:t>
      </w:r>
    </w:p>
    <w:p w:rsidR="006D661A" w:rsidRDefault="006D661A">
      <w:pPr>
        <w:jc w:val="both"/>
        <w:rPr>
          <w:rFonts w:cs="Times New Roman"/>
        </w:rPr>
      </w:pPr>
      <w:r>
        <w:rPr>
          <w:rFonts w:cs="Times New Roman"/>
        </w:rPr>
        <w:tab/>
        <w:t>rilevato che la Nota e la relazione di cui all'articolo 6, comma 5, della legge n. 243 del 2012 indicano sinteticamente le linee essenziali delle misure di politica economica e di bilancio che il Governo intende introdurre con la prossima legge di bilancio, per fornire un ulteriore impulso alla crescita e al lavoro e irrobustire la fiducia e gli investimenti, evidenziando che, in primo luogo, si intendono sterilizzare le clausole di salvaguardia che prevedono l'incremento del prelievo IVA per destinare le residue risorse disponibili, limitate dall’esigenza di stabilizzare le finanze pubbliche e di accelerare il processo di riduzione del debito, a interventi selettivi volti a sostenere l’occupazione, con particolare riferimento a quella giovanile, attrav</w:t>
      </w:r>
      <w:r w:rsidR="00B35DC3">
        <w:rPr>
          <w:rFonts w:cs="Times New Roman"/>
        </w:rPr>
        <w:t>erso la riduzione degli oneri</w:t>
      </w:r>
      <w:r>
        <w:rPr>
          <w:rFonts w:cs="Times New Roman"/>
        </w:rPr>
        <w:t xml:space="preserve"> contribuitivi, a potenziare gli investimenti pubblici e a promuovere quelli privati, nonché a rafforzare gli strumenti di lotta alla povertà e di sostegno alle famiglie;</w:t>
      </w:r>
    </w:p>
    <w:p w:rsidR="006D661A" w:rsidRDefault="006D661A">
      <w:pPr>
        <w:jc w:val="both"/>
      </w:pPr>
      <w:r>
        <w:rPr>
          <w:rFonts w:cs="Times New Roman"/>
        </w:rPr>
        <w:tab/>
        <w:t>osservato che, sul versante del reperimento delle risorse, la Nota di aggiornamento prefigura la realizzazione, nel corso del prossimo anno, di una manovra di valore pari a circa lo 0,5 per cento del prodotto interno lordo, che si articolerà in una riduzione strutturale della spesa pubblica per circa lo 0,15 per cento del PIL e in misure sul versante delle entrate per il restante 0,35 per cento del PIL;</w:t>
      </w:r>
    </w:p>
    <w:p w:rsidR="006D661A" w:rsidRDefault="006D661A">
      <w:pPr>
        <w:jc w:val="both"/>
      </w:pPr>
      <w:r>
        <w:tab/>
        <w:t>evidenziato che la riduzione delle spese dovrebbe realizzarsi</w:t>
      </w:r>
      <w:r w:rsidR="00D86865">
        <w:t xml:space="preserve"> essenzialmente</w:t>
      </w:r>
      <w:r>
        <w:t xml:space="preserve"> grazie all'integrazione nel ciclo di programmazione di bilancio del processo di revisione della spesa, mentre sul versante delle entrate il Governo intende intensifi</w:t>
      </w:r>
      <w:r>
        <w:rPr>
          <w:rFonts w:cs="Times New Roman"/>
        </w:rPr>
        <w:t>care la lotta all’e</w:t>
      </w:r>
      <w:r w:rsidR="00D86865">
        <w:rPr>
          <w:rFonts w:cs="Times New Roman"/>
        </w:rPr>
        <w:t>vasione e all’elusione fiscale, con particolare riferimento</w:t>
      </w:r>
      <w:r>
        <w:rPr>
          <w:rFonts w:cs="Times New Roman"/>
        </w:rPr>
        <w:t xml:space="preserve"> all'imposta sul valore aggiunto;</w:t>
      </w:r>
    </w:p>
    <w:p w:rsidR="006D661A" w:rsidRDefault="006D661A">
      <w:pPr>
        <w:jc w:val="both"/>
      </w:pPr>
      <w:r>
        <w:tab/>
        <w:t>rilevato che, per quanto attiene all'andamento dell'occupazione, la Nota evidenzia che per effetto d</w:t>
      </w:r>
      <w:r>
        <w:rPr>
          <w:rFonts w:cs="Times New Roman"/>
        </w:rPr>
        <w:t>ella ripresa il numero di occupati ha superato la quota di 23 milioni di unità, soglia superata solo nel 2008, prima del manifestarsi degli effetti della crisi economica, e che negli ultimi tre anni il numero di occupati è cresciuto di circa 900.000 unità;</w:t>
      </w:r>
    </w:p>
    <w:p w:rsidR="006D661A" w:rsidRDefault="006D661A">
      <w:pPr>
        <w:jc w:val="both"/>
        <w:rPr>
          <w:rFonts w:cs="Times New Roman"/>
        </w:rPr>
      </w:pPr>
      <w:r>
        <w:tab/>
        <w:t xml:space="preserve">considerato che, in questo contesto, il tasso di disoccupazione presenta un andamento positivo, </w:t>
      </w:r>
      <w:r>
        <w:rPr>
          <w:rFonts w:cs="Times New Roman"/>
        </w:rPr>
        <w:t>riducendosi nell'anno 2017 all’11,2 per cento, con un calo dello 0,5 per cento rispetto all'anno 2016, e, secondo le previsioni programmatiche, raggiungerebbe il 10,7 per cento nel 2018, il 10 per cento nel 2019 e il 9,5 per cento nel 2020;</w:t>
      </w:r>
    </w:p>
    <w:p w:rsidR="006D661A" w:rsidRDefault="006D661A">
      <w:pPr>
        <w:jc w:val="both"/>
        <w:rPr>
          <w:rFonts w:cs="Times New Roman"/>
        </w:rPr>
      </w:pPr>
      <w:r>
        <w:rPr>
          <w:rFonts w:cs="Times New Roman"/>
        </w:rPr>
        <w:tab/>
        <w:t>ritenuto che il processo di riduzione della disoccupazione avviato in questi anni, pur essendo apprezzabile, debba essere ulteriormente rafforzato e accelerato, al fine di superare le conseguenze sul sistema produttivo della crisi economica, tenendo anche conto della circostanza che le stime riferite all'ultimo anno del periodo di previsione sono ancora distanti dal tasso del 6,7 per cento registrato nel 2008;</w:t>
      </w:r>
    </w:p>
    <w:p w:rsidR="006D661A" w:rsidRDefault="006D661A">
      <w:pPr>
        <w:jc w:val="both"/>
        <w:rPr>
          <w:rFonts w:cs="Times New Roman"/>
        </w:rPr>
      </w:pPr>
      <w:r>
        <w:rPr>
          <w:rFonts w:cs="Times New Roman"/>
        </w:rPr>
        <w:tab/>
      </w:r>
      <w:r w:rsidR="00B35DC3">
        <w:rPr>
          <w:rFonts w:cs="Times New Roman"/>
        </w:rPr>
        <w:t>rilev</w:t>
      </w:r>
      <w:r>
        <w:rPr>
          <w:rFonts w:cs="Times New Roman"/>
        </w:rPr>
        <w:t>ato che anche nei dati più recenti, che pure mostrano segnali di miglioramento, si riscontra la permanenza di un elevato tasso di disoccupazione giovanile, pari, per i giovani tra i quindici e i trentaquattro anni di età, a</w:t>
      </w:r>
      <w:r w:rsidR="00B35DC3">
        <w:rPr>
          <w:rFonts w:cs="Times New Roman"/>
        </w:rPr>
        <w:t xml:space="preserve"> oltre il</w:t>
      </w:r>
      <w:r>
        <w:rPr>
          <w:rFonts w:cs="Times New Roman"/>
        </w:rPr>
        <w:t xml:space="preserve"> 20</w:t>
      </w:r>
      <w:r w:rsidR="00B35DC3">
        <w:rPr>
          <w:rFonts w:cs="Times New Roman"/>
        </w:rPr>
        <w:t xml:space="preserve"> </w:t>
      </w:r>
      <w:r>
        <w:rPr>
          <w:rFonts w:cs="Times New Roman"/>
        </w:rPr>
        <w:t xml:space="preserve">per cento, che sale </w:t>
      </w:r>
      <w:r w:rsidR="00D86865">
        <w:rPr>
          <w:rFonts w:cs="Times New Roman"/>
        </w:rPr>
        <w:t>a circa il</w:t>
      </w:r>
      <w:r>
        <w:rPr>
          <w:rFonts w:cs="Times New Roman"/>
        </w:rPr>
        <w:t xml:space="preserve"> 35 per cento per i giovani nella fascia fino ai ventiquattro anni; </w:t>
      </w:r>
    </w:p>
    <w:p w:rsidR="006D661A" w:rsidRDefault="006D661A">
      <w:pPr>
        <w:jc w:val="both"/>
        <w:rPr>
          <w:rFonts w:cs="Times New Roman"/>
        </w:rPr>
      </w:pPr>
      <w:r>
        <w:rPr>
          <w:rFonts w:cs="Times New Roman"/>
        </w:rPr>
        <w:tab/>
        <w:t xml:space="preserve">evidenziato, altresì, che permangono preoccupanti divaricazioni a livello territoriale dei tassi di disoccupazione, essendo il dato riferito all'Italia meridionale pari a oltre il 19 per cento, oltre otto punti percentuali al di sopra della media nazionale e oltre dodici punti </w:t>
      </w:r>
      <w:r w:rsidR="00B35DC3">
        <w:rPr>
          <w:rFonts w:cs="Times New Roman"/>
        </w:rPr>
        <w:t>al di sopra del</w:t>
      </w:r>
      <w:r>
        <w:rPr>
          <w:rFonts w:cs="Times New Roman"/>
        </w:rPr>
        <w:t>la misura registrata nell'Italia del nord;</w:t>
      </w:r>
    </w:p>
    <w:p w:rsidR="006D661A" w:rsidRDefault="006D661A">
      <w:pPr>
        <w:jc w:val="both"/>
        <w:rPr>
          <w:rFonts w:cs="Times New Roman"/>
        </w:rPr>
      </w:pPr>
      <w:r>
        <w:rPr>
          <w:rFonts w:cs="Times New Roman"/>
        </w:rPr>
        <w:tab/>
        <w:t>osservato con favore che la Nota registra un costante miglioramento del tasso di occupazione dei soggetti tra 15 e 64 anni di età, che nell'anno in corso dovrebbe raggiungere il 58,1 per cento, con un incremento di 0,9 punti percentuali rispetto all'anno 2016, mentre le previsioni programmatiche per gli anni successivi indicano un tasso di occupazione del 58,7 per cento nel 2018, del 59,5 per cento nel 2019 e del 60,2 per cento nel 2020;</w:t>
      </w:r>
    </w:p>
    <w:p w:rsidR="006D661A" w:rsidRDefault="006D661A">
      <w:pPr>
        <w:jc w:val="both"/>
        <w:rPr>
          <w:rFonts w:cs="Times New Roman"/>
        </w:rPr>
      </w:pPr>
      <w:r>
        <w:rPr>
          <w:rFonts w:cs="Times New Roman"/>
        </w:rPr>
        <w:tab/>
        <w:t>espresso apprezzamento per il fatto che nel corso dei prossimi</w:t>
      </w:r>
      <w:r w:rsidR="00DC4635">
        <w:rPr>
          <w:rFonts w:cs="Times New Roman"/>
        </w:rPr>
        <w:t xml:space="preserve"> anni dovrebbe essere superato </w:t>
      </w:r>
      <w:r>
        <w:rPr>
          <w:rFonts w:cs="Times New Roman"/>
        </w:rPr>
        <w:t>il livello massimo del tasso di occupazione registrato nel terzo trimestre del 2008, quando risultò pari al 58,8 per cento;</w:t>
      </w:r>
    </w:p>
    <w:p w:rsidR="006D661A" w:rsidRDefault="006D661A">
      <w:pPr>
        <w:jc w:val="both"/>
        <w:rPr>
          <w:rFonts w:cs="Times New Roman"/>
        </w:rPr>
      </w:pPr>
      <w:r>
        <w:rPr>
          <w:rFonts w:cs="Times New Roman"/>
        </w:rPr>
        <w:tab/>
        <w:t xml:space="preserve">rilevata, tuttavia, l'esigenza di compiere ulteriori sforzi per consolidare le tendenze già in atto, accelerandone la dinamica, anche alla luce degli obiettivi individuati nell'ambito della Strategia Europa 2020, che prevedono per l'Italia il raggiungimento di un tasso di occupazione, per la popolazione compresa tra i 20 e i 64 anni, pari al 67-69 per cento; </w:t>
      </w:r>
    </w:p>
    <w:p w:rsidR="006D661A" w:rsidRDefault="006D661A">
      <w:pPr>
        <w:jc w:val="both"/>
        <w:rPr>
          <w:rFonts w:cs="Times New Roman"/>
        </w:rPr>
      </w:pPr>
      <w:r>
        <w:rPr>
          <w:rFonts w:cs="Times New Roman"/>
        </w:rPr>
        <w:tab/>
      </w:r>
      <w:r w:rsidR="00B35DC3">
        <w:rPr>
          <w:rFonts w:cs="Times New Roman"/>
        </w:rPr>
        <w:t>segnalata, in particolare,</w:t>
      </w:r>
      <w:r>
        <w:rPr>
          <w:rFonts w:cs="Times New Roman"/>
        </w:rPr>
        <w:t xml:space="preserve"> </w:t>
      </w:r>
      <w:r w:rsidR="00B35DC3">
        <w:rPr>
          <w:rFonts w:cs="Times New Roman"/>
        </w:rPr>
        <w:t>la necessità</w:t>
      </w:r>
      <w:r>
        <w:rPr>
          <w:rFonts w:cs="Times New Roman"/>
        </w:rPr>
        <w:t xml:space="preserve"> di rafforzare gli interventi volti alla creazione di nuova occupazione di qualità nel nostro Paese, attraverso </w:t>
      </w:r>
      <w:r w:rsidR="00B35DC3">
        <w:rPr>
          <w:rFonts w:cs="Times New Roman"/>
        </w:rPr>
        <w:t>misure</w:t>
      </w:r>
      <w:r>
        <w:rPr>
          <w:rFonts w:cs="Times New Roman"/>
        </w:rPr>
        <w:t xml:space="preserve"> che, in linea con quanto rappresentato nella Nota, siano tes</w:t>
      </w:r>
      <w:r w:rsidR="00B35DC3">
        <w:rPr>
          <w:rFonts w:cs="Times New Roman"/>
        </w:rPr>
        <w:t>e</w:t>
      </w:r>
      <w:r>
        <w:rPr>
          <w:rFonts w:cs="Times New Roman"/>
        </w:rPr>
        <w:t xml:space="preserve"> a favorire, da un lato, il rinnovamento del sistema produttivo, in particolare attraverso la crescita degli investimenti, anche nell’ambito del Piano nazionale “Impresa 4.0” e, dall’altro, a sostenere la creazione di nuovi posti di lavoro stabili; </w:t>
      </w:r>
    </w:p>
    <w:p w:rsidR="006D661A" w:rsidRDefault="006D661A">
      <w:pPr>
        <w:jc w:val="both"/>
        <w:rPr>
          <w:rFonts w:cs="Times New Roman"/>
        </w:rPr>
      </w:pPr>
      <w:r>
        <w:rPr>
          <w:rFonts w:cs="Times New Roman"/>
        </w:rPr>
        <w:tab/>
        <w:t>ricordato che con la risoluzione Marchi ed altri n. 6-00331, approvata dalla Camera dei deputati il 26 aprile 2017, al termine dell’esame del Documento di economia e finanza 2017,</w:t>
      </w:r>
      <w:r>
        <w:t xml:space="preserve"> si è impegnato il Governo </w:t>
      </w:r>
      <w:r>
        <w:rPr>
          <w:rFonts w:cs="Times New Roman"/>
        </w:rPr>
        <w:t xml:space="preserve">a favorire l'incremento dell'occupazione giovanile anche attraverso la predisposizione di interventi selettivi sul cuneo fiscale e che nella Nota e nella relazione presentata ai sensi dell'articolo 6, comma 5, della legge 24 dicembre 2012, n. 243, si indicano espressamente, tra le misure da introdurre nella prossima legge di bilancio, «interventi per promuovere la crescita occupazionale, in particolare dei giovani»; </w:t>
      </w:r>
    </w:p>
    <w:p w:rsidR="006D661A" w:rsidRDefault="006D661A">
      <w:pPr>
        <w:jc w:val="both"/>
        <w:rPr>
          <w:rFonts w:cs="Times New Roman"/>
        </w:rPr>
      </w:pPr>
      <w:r>
        <w:rPr>
          <w:rFonts w:cs="Times New Roman"/>
        </w:rPr>
        <w:tab/>
        <w:t>evidenziata l’esigenza che gli interventi di promozione dell’occupazione giovanile siano indirizzati ad una riduzione di carattere strutturale del carico contributivo per i nuovi contratti di lavoro subordinato a tempo indeterminato, che non incida sull’adeguatezza delle future prestazioni pensionistiche;</w:t>
      </w:r>
    </w:p>
    <w:p w:rsidR="006D661A" w:rsidRDefault="006D661A">
      <w:pPr>
        <w:jc w:val="both"/>
        <w:rPr>
          <w:rFonts w:cs="Times New Roman"/>
        </w:rPr>
      </w:pPr>
      <w:r>
        <w:rPr>
          <w:rFonts w:cs="Times New Roman"/>
        </w:rPr>
        <w:tab/>
        <w:t xml:space="preserve">ritenuto che le misure volte al consolidamento della crescita dell'occupazione debbano contemplare adeguati interventi </w:t>
      </w:r>
      <w:r w:rsidR="00B35DC3">
        <w:rPr>
          <w:rFonts w:cs="Times New Roman"/>
        </w:rPr>
        <w:t>finalizzat</w:t>
      </w:r>
      <w:r>
        <w:rPr>
          <w:rFonts w:cs="Times New Roman"/>
        </w:rPr>
        <w:t xml:space="preserve">i a sostenere la partecipazione femminile al mondo del lavoro, considerato che, sulla base dei dati più recenti, nel nostro Paese </w:t>
      </w:r>
      <w:r>
        <w:rPr>
          <w:rFonts w:eastAsia="Arial" w:cs="Times New Roman"/>
          <w:color w:val="000000"/>
        </w:rPr>
        <w:t>il tasso di occupazione delle donne di età compresa tra i 15 e i 64 anni, pur essendo in aumento, supera di poco il 49 per cento, con un risultato che, nell'ambito europeo, è superiore solo a quello della Grecia e che, nell'anno 2016, registrava un divario negativo di 13,2 punti percentuali rispetto alla media europea;</w:t>
      </w:r>
    </w:p>
    <w:p w:rsidR="006D661A" w:rsidRDefault="006D661A">
      <w:pPr>
        <w:jc w:val="both"/>
        <w:rPr>
          <w:rFonts w:cs="Times New Roman"/>
        </w:rPr>
      </w:pPr>
      <w:r>
        <w:rPr>
          <w:rFonts w:cs="Times New Roman"/>
        </w:rPr>
        <w:tab/>
        <w:t>ricordato che la richiamata risoluzione Marchi ed altri n. 6-00331 ha richiesto l'impegno del G</w:t>
      </w:r>
      <w:r w:rsidR="00B35DC3">
        <w:rPr>
          <w:rFonts w:cs="Times New Roman"/>
        </w:rPr>
        <w:t>overno a promuovere interventi finalizzati</w:t>
      </w:r>
      <w:r>
        <w:rPr>
          <w:rFonts w:cs="Times New Roman"/>
        </w:rPr>
        <w:t xml:space="preserve"> a rafforzare la presenza femminile nel mondo del lavoro, proseguendo nell'introduzione di misure volte a favorire la condivisione dei carichi familiari e la conciliazione dei tempi di vita e di lavoro, nonché ampliando e rafforzando il Sistema integrato di educazione e di istruzione per l'infanzia e i servizi alla famiglia, in particolare nelle aree del Mezzogiorno; </w:t>
      </w:r>
    </w:p>
    <w:p w:rsidR="006D661A" w:rsidRDefault="006D661A">
      <w:pPr>
        <w:jc w:val="both"/>
        <w:rPr>
          <w:rFonts w:cs="Times New Roman"/>
        </w:rPr>
      </w:pPr>
      <w:r>
        <w:rPr>
          <w:rFonts w:cs="Times New Roman"/>
        </w:rPr>
        <w:tab/>
        <w:t>osservato che anche nella raccomandazione del Consiglio europeo dell'11 luglio 2017 sul Programma nazionale di riforma 2017 dell’Italia e che formula un parere del Consiglio sul Programma di stabilità 2017 dell’Italia (2017/C 261/11)</w:t>
      </w:r>
      <w:r>
        <w:t xml:space="preserve"> si evidenzia che </w:t>
      </w:r>
      <w:r w:rsidR="00B35DC3">
        <w:t>il potenziale connesso al</w:t>
      </w:r>
      <w:r>
        <w:t>l</w:t>
      </w:r>
      <w:r>
        <w:rPr>
          <w:rFonts w:cs="Times New Roman"/>
        </w:rPr>
        <w:t>a partecipazione delle donne al mercato del lavoro riman</w:t>
      </w:r>
      <w:r w:rsidR="00B35DC3">
        <w:rPr>
          <w:rFonts w:cs="Times New Roman"/>
        </w:rPr>
        <w:t>e</w:t>
      </w:r>
      <w:r>
        <w:rPr>
          <w:rFonts w:cs="Times New Roman"/>
        </w:rPr>
        <w:t xml:space="preserve"> in gran parte sottoutilizzat</w:t>
      </w:r>
      <w:r w:rsidR="00B35DC3">
        <w:rPr>
          <w:rFonts w:cs="Times New Roman"/>
        </w:rPr>
        <w:t>o</w:t>
      </w:r>
      <w:r>
        <w:rPr>
          <w:rFonts w:cs="Times New Roman"/>
        </w:rPr>
        <w:t xml:space="preserve">, osservandosi, in proposito, che alcune caratteristiche del sistema fiscale continuano a scoraggiare la partecipazione alla forza lavoro del secondo percettore di reddito, </w:t>
      </w:r>
      <w:r w:rsidR="00B35DC3">
        <w:rPr>
          <w:rFonts w:cs="Times New Roman"/>
        </w:rPr>
        <w:t>che</w:t>
      </w:r>
      <w:r>
        <w:rPr>
          <w:rFonts w:cs="Times New Roman"/>
        </w:rPr>
        <w:t xml:space="preserve"> l’accesso a servizi di assistenza a prezzi accessibili per i bambini e gli anziani resta limitato, con ampie disparità regionali</w:t>
      </w:r>
      <w:r w:rsidR="00B35DC3">
        <w:rPr>
          <w:rFonts w:cs="Times New Roman"/>
        </w:rPr>
        <w:t>,</w:t>
      </w:r>
      <w:r>
        <w:rPr>
          <w:rFonts w:cs="Times New Roman"/>
        </w:rPr>
        <w:t xml:space="preserve"> e che il congedo di paternità è tra i più bassi dell’Unione;</w:t>
      </w:r>
    </w:p>
    <w:p w:rsidR="006D661A" w:rsidRDefault="006D661A">
      <w:pPr>
        <w:jc w:val="both"/>
        <w:rPr>
          <w:rFonts w:cs="Times New Roman"/>
        </w:rPr>
      </w:pPr>
      <w:r>
        <w:rPr>
          <w:rFonts w:cs="Times New Roman"/>
        </w:rPr>
        <w:tab/>
        <w:t xml:space="preserve">richiamate, altresì, le considerazioni espresse nel documento finale approvato dalla Commissione, a norma dell’articolo 127 del Regolamento, sulla comunicazione della Commissione al Parlamento europeo, al Consiglio, al Comitato economico e sociale europeo e al Comitato delle regioni: “Un'iniziativa per sostenere l'equilibrio tra attività professionale e vita familiare di genitori e prestatori di assistenza che lavorano” (COM(2017) 252 final) e sulla proposta di direttiva del Parlamento europeo e del Consiglio relativa all'equilibrio tra attività professionale e vita familiare per i genitori e i prestatori di assistenza e che abroga la direttiva 2010/18/UE del Consiglio e relativo allegato (COM(2017) 253 final e COM(2017) 253 final - </w:t>
      </w:r>
      <w:proofErr w:type="spellStart"/>
      <w:r>
        <w:rPr>
          <w:rFonts w:cs="Times New Roman"/>
        </w:rPr>
        <w:t>Annex</w:t>
      </w:r>
      <w:proofErr w:type="spellEnd"/>
      <w:r>
        <w:rPr>
          <w:rFonts w:cs="Times New Roman"/>
        </w:rPr>
        <w:t xml:space="preserve"> 1) (Doc. XVIII, n. 88);</w:t>
      </w:r>
    </w:p>
    <w:p w:rsidR="006D661A" w:rsidRDefault="006D661A">
      <w:pPr>
        <w:jc w:val="both"/>
        <w:rPr>
          <w:rFonts w:cs="Times New Roman"/>
        </w:rPr>
      </w:pPr>
      <w:r>
        <w:rPr>
          <w:rFonts w:cs="Times New Roman"/>
        </w:rPr>
        <w:tab/>
        <w:t xml:space="preserve">ritenuto che, ai fini di promuovere un più efficace incontro tra domanda e offerta di lavoro e di favorire, in questo modo, l’accesso al mondo del lavoro dei giovani e il ricollocamento di quanti abbiano perso l’occupazione, assuma carattere strategico il rafforzamento del sistema delle politiche attive del lavoro e dei servizi per l’impiego, in linea con le direttrici di intervento tracciate dalle deleghe di cui alla legge 10 dicembre 2014, n. 183, e dal decreto legislativo 14 settembre 2015, n. 150, che reca disposizioni per il riordino della normativa in materia di servizi per il lavoro e di politiche attive; </w:t>
      </w:r>
    </w:p>
    <w:p w:rsidR="006D661A" w:rsidRDefault="006D661A">
      <w:pPr>
        <w:jc w:val="both"/>
        <w:rPr>
          <w:rFonts w:cs="Times New Roman"/>
        </w:rPr>
      </w:pPr>
      <w:r>
        <w:rPr>
          <w:rFonts w:cs="Times New Roman"/>
        </w:rPr>
        <w:tab/>
        <w:t xml:space="preserve">rilevata, in questo </w:t>
      </w:r>
      <w:r w:rsidR="00B35DC3">
        <w:rPr>
          <w:rFonts w:cs="Times New Roman"/>
        </w:rPr>
        <w:t>contesto</w:t>
      </w:r>
      <w:r>
        <w:rPr>
          <w:rFonts w:cs="Times New Roman"/>
        </w:rPr>
        <w:t xml:space="preserve">, l’esigenza di dare compiuta attuazione al quadro ordinamentale disegnato dal decreto legislativo n. 150 del 2015, con particolare riferimento alla definizione dei livelli essenziali delle prestazioni in materia di servizi per il lavoro e </w:t>
      </w:r>
      <w:r w:rsidR="00B35DC3">
        <w:rPr>
          <w:rFonts w:cs="Times New Roman"/>
        </w:rPr>
        <w:t xml:space="preserve">di </w:t>
      </w:r>
      <w:r>
        <w:rPr>
          <w:rFonts w:cs="Times New Roman"/>
        </w:rPr>
        <w:t xml:space="preserve">politiche attive, e di promuovere un progressivo rafforzamento delle risorse destinate alle politiche attive del lavoro, garantendo altresì la disponibilità di un livello adeguato di risorse di personale, individuate anche valorizzando le professionalità attualmente in servizio con contratti di lavoro di carattere temporaneo; </w:t>
      </w:r>
    </w:p>
    <w:p w:rsidR="006D661A" w:rsidRDefault="006D661A">
      <w:pPr>
        <w:jc w:val="both"/>
        <w:rPr>
          <w:rFonts w:cs="Times New Roman"/>
        </w:rPr>
      </w:pPr>
      <w:r>
        <w:rPr>
          <w:rFonts w:cs="Times New Roman"/>
        </w:rPr>
        <w:tab/>
        <w:t xml:space="preserve">osservato che, per quanto attiene alla previdenza, la Nota di aggiornamento reca, come di consueto, un </w:t>
      </w:r>
      <w:r>
        <w:rPr>
          <w:rFonts w:cs="Times New Roman"/>
          <w:i/>
        </w:rPr>
        <w:t xml:space="preserve">focus </w:t>
      </w:r>
      <w:r>
        <w:rPr>
          <w:rFonts w:cs="Times New Roman"/>
        </w:rPr>
        <w:t>dedicato alle tendenze di medio-lungo periodo del sistema pensionistico italiano e delle spese pubbliche connesse all'invecchiamento;</w:t>
      </w:r>
    </w:p>
    <w:p w:rsidR="006D661A" w:rsidRDefault="006D661A">
      <w:pPr>
        <w:jc w:val="both"/>
        <w:rPr>
          <w:rFonts w:cs="Times New Roman"/>
        </w:rPr>
      </w:pPr>
      <w:r>
        <w:rPr>
          <w:rFonts w:cs="Times New Roman"/>
        </w:rPr>
        <w:tab/>
        <w:t>considerato che l’evoluzione della spesa previdenziale sulla base dei più recenti scenari delineati dall’ISTAT con base 2016, anche tenendo conto delle misure introdotte dalla legge di bilancio per il 2017 volte a incrementare i trattamenti pensionistici di importo minore attraverso la cosiddetta quattordicesima e a facilitare in via sperimentale l’accesso anticipato al pensionamento, mostra una dinamica in linea con quella stimata nei passati esercizi;</w:t>
      </w:r>
    </w:p>
    <w:p w:rsidR="006D661A" w:rsidRDefault="006D661A">
      <w:pPr>
        <w:jc w:val="both"/>
        <w:rPr>
          <w:rFonts w:cs="Times New Roman"/>
        </w:rPr>
      </w:pPr>
      <w:r>
        <w:rPr>
          <w:rFonts w:cs="Times New Roman"/>
        </w:rPr>
        <w:tab/>
        <w:t>osservato, peraltro, che la Nota evidenzia che le nuove previsioni demografiche dell’ISTAT e gli scenari definiti in sede europea per le previsioni della spese connesse all’invecchiamento della popolazione, funzionali alla valutazione della sostenibilità delle finanze pubbliche, rivedono in senso peggiorativo le principali variabili considerate ai fini della stima dell’incidenza della spesa pensionistica nel lungo periodo</w:t>
      </w:r>
      <w:r w:rsidR="00B35DC3">
        <w:rPr>
          <w:rFonts w:cs="Times New Roman"/>
        </w:rPr>
        <w:t>,</w:t>
      </w:r>
      <w:r>
        <w:rPr>
          <w:rFonts w:cs="Times New Roman"/>
        </w:rPr>
        <w:t xml:space="preserve"> con particolare riferimento alla produttività totale dei fattori e alle variabili demografiche;</w:t>
      </w:r>
    </w:p>
    <w:p w:rsidR="006D661A" w:rsidRDefault="006D661A">
      <w:pPr>
        <w:jc w:val="both"/>
        <w:rPr>
          <w:rFonts w:cs="Times New Roman"/>
        </w:rPr>
      </w:pPr>
      <w:r>
        <w:rPr>
          <w:rFonts w:cs="Times New Roman"/>
        </w:rPr>
        <w:tab/>
        <w:t xml:space="preserve">rilevato che, sulla base di tale nuove previsioni, il rapporto tra spesa pensionistica e prodotto interno lordo </w:t>
      </w:r>
      <w:r w:rsidR="00B35DC3">
        <w:rPr>
          <w:rFonts w:cs="Times New Roman"/>
        </w:rPr>
        <w:t xml:space="preserve">si incrementerebbe ulteriormente </w:t>
      </w:r>
      <w:r>
        <w:rPr>
          <w:rFonts w:cs="Times New Roman"/>
        </w:rPr>
        <w:t>di circa due punti percentuali nel 2035, di 2,6 punti percentuali intorno al 2045, di circa 1,2 punti percentuali nel 2060 e di 0,5 punti percentuali nel 2070;</w:t>
      </w:r>
    </w:p>
    <w:p w:rsidR="006D661A" w:rsidRDefault="006D661A">
      <w:pPr>
        <w:jc w:val="both"/>
        <w:rPr>
          <w:rFonts w:cs="Times New Roman"/>
        </w:rPr>
      </w:pPr>
      <w:r>
        <w:rPr>
          <w:rFonts w:cs="Times New Roman"/>
        </w:rPr>
        <w:tab/>
        <w:t>evidenziato che, come già rilevato in occasione dell’esame di precedenti documenti di programmazione, ai fini di una adeguata comparazione a livello internazionale, occorre considerare che i dati relativi all’incidenza della spesa previdenziale sul prodotto interno lordo sono comprensivi delle imposte dovute su tali redditi, che nel nostro Paese sono più gravose che in altri Stati e ammontano complessivamente a oltre 40 miliardi di euro;</w:t>
      </w:r>
    </w:p>
    <w:p w:rsidR="006D661A" w:rsidRDefault="006D661A">
      <w:pPr>
        <w:jc w:val="both"/>
        <w:rPr>
          <w:rFonts w:cs="Times New Roman"/>
        </w:rPr>
      </w:pPr>
      <w:r>
        <w:rPr>
          <w:rFonts w:cs="Times New Roman"/>
        </w:rPr>
        <w:tab/>
        <w:t>condivise le considerazioni contenute nella Nota, secondo cui i nuovi scenari dovranno essere attentamente considerati nella definizione delle politiche pubbliche, al fine di individuare interventi che sostengano un più elevato ritmo di crescita del prodotto interno lordo, favoriscano un aumento dei tassi di attività e una risalita dei tassi di fecondità;</w:t>
      </w:r>
    </w:p>
    <w:p w:rsidR="006D661A" w:rsidRDefault="006D661A">
      <w:pPr>
        <w:jc w:val="both"/>
        <w:rPr>
          <w:rFonts w:cs="Times New Roman"/>
        </w:rPr>
      </w:pPr>
      <w:r>
        <w:rPr>
          <w:rFonts w:cs="Times New Roman"/>
        </w:rPr>
        <w:tab/>
        <w:t>evidenziato che la Nota sottolinea come il contrasto alla povertà e all</w:t>
      </w:r>
      <w:r w:rsidR="00B35DC3">
        <w:rPr>
          <w:rFonts w:cs="Times New Roman"/>
        </w:rPr>
        <w:t>e</w:t>
      </w:r>
      <w:r>
        <w:rPr>
          <w:rFonts w:cs="Times New Roman"/>
        </w:rPr>
        <w:t xml:space="preserve"> disuguaglianz</w:t>
      </w:r>
      <w:r w:rsidR="00B35DC3">
        <w:rPr>
          <w:rFonts w:cs="Times New Roman"/>
        </w:rPr>
        <w:t>e</w:t>
      </w:r>
      <w:r>
        <w:rPr>
          <w:rFonts w:cs="Times New Roman"/>
        </w:rPr>
        <w:t xml:space="preserve"> rappresenti un elemento cardine della strategia di politica economica del Governo, richiamando in particolare l’istituzione, a decorrere dal 1° gennaio 2018, del reddito di inclusione, in attuazione della delega di cui alla legge 15 marzo 2017, n. 33;</w:t>
      </w:r>
    </w:p>
    <w:p w:rsidR="006D661A" w:rsidRDefault="006D661A">
      <w:pPr>
        <w:jc w:val="both"/>
        <w:rPr>
          <w:rFonts w:cs="Times New Roman"/>
        </w:rPr>
      </w:pPr>
      <w:r>
        <w:rPr>
          <w:rFonts w:cs="Times New Roman"/>
        </w:rPr>
        <w:tab/>
        <w:t xml:space="preserve">ritenuto che attraverso il Piano nazionale per la lotta alla povertà e all’esclusione sociale, previsto dalla normativa istitutiva del reddito di inclusione, si dovrà progressivamente pervenire, grazie allo stanziamento delle necessarie risorse finanziarie, all’estensione della misura fino all’integrale copertura di tutti i nuclei familiari in condizioni di povertà e all’aumento della </w:t>
      </w:r>
      <w:r w:rsidR="00B35DC3">
        <w:rPr>
          <w:rFonts w:cs="Times New Roman"/>
        </w:rPr>
        <w:t>misur</w:t>
      </w:r>
      <w:r>
        <w:rPr>
          <w:rFonts w:cs="Times New Roman"/>
        </w:rPr>
        <w:t>a del beneficio economico;</w:t>
      </w:r>
    </w:p>
    <w:p w:rsidR="00B35DC3" w:rsidRDefault="00B35DC3">
      <w:pPr>
        <w:jc w:val="both"/>
        <w:rPr>
          <w:rFonts w:cs="Times New Roman"/>
        </w:rPr>
      </w:pPr>
      <w:r>
        <w:rPr>
          <w:rFonts w:cs="Times New Roman"/>
        </w:rPr>
        <w:tab/>
      </w:r>
      <w:r w:rsidRPr="00B35DC3">
        <w:rPr>
          <w:rFonts w:cs="Times New Roman"/>
        </w:rPr>
        <w:t>osservato che, con riferimento al pubblico impiego, la Nota evidenz</w:t>
      </w:r>
      <w:r>
        <w:rPr>
          <w:rFonts w:cs="Times New Roman"/>
        </w:rPr>
        <w:t>i</w:t>
      </w:r>
      <w:r w:rsidRPr="00B35DC3">
        <w:rPr>
          <w:rFonts w:cs="Times New Roman"/>
        </w:rPr>
        <w:t>a che i redditi da lavoro dipendente delle pubbliche amministrazioni, al termine di una lunga fase di riduzione degli stanziamenti, dovrebbero tornare a crescere su base nominale per circa 1,7 punti percentuali nel 2017, per effetto dei rinnovi contrattuali, comprensivi della quota di arretrati, mentre, sulla base della legislazione vigente, nel 2018 la spesa ritornerebbe a contrarsi dello 0,2 per cento, per poi riprendere a crescere, con un ritmo dello 0,2 per cento annuo nel biennio 2019-2020;</w:t>
      </w:r>
    </w:p>
    <w:p w:rsidR="006D661A" w:rsidRDefault="006D661A">
      <w:pPr>
        <w:jc w:val="both"/>
        <w:rPr>
          <w:rFonts w:cs="Times New Roman"/>
        </w:rPr>
      </w:pPr>
      <w:r>
        <w:rPr>
          <w:rFonts w:cs="Times New Roman"/>
        </w:rPr>
        <w:tab/>
        <w:t>considerato che, sulla base della legislazione vigente, il rapporto tra la spesa per redditi da lavoro dipendente delle pubbliche amministrazioni e prodotto interno lordo continuerebbe a contrarsi progressivamente, passando dal 9,8 per cento del 2016 al 9,7 per cento del 2017, al 9,4 per cento del 2018, al 9,2 per cento del 2019 e all’8,9 per cento del 2020;</w:t>
      </w:r>
    </w:p>
    <w:p w:rsidR="006D661A" w:rsidRDefault="006D661A">
      <w:pPr>
        <w:jc w:val="both"/>
        <w:rPr>
          <w:rFonts w:cs="Times New Roman"/>
        </w:rPr>
      </w:pPr>
      <w:r>
        <w:rPr>
          <w:rFonts w:cs="Times New Roman"/>
        </w:rPr>
        <w:tab/>
        <w:t>ricordato che il 30 novembre 2016 Governo e organizzazioni sindacali hanno sottoscritto un accordo nel quale, per la parte economica, si garantisce che, con le leggi di bilancio, saranno stanziate risorse finanziarie che consentano di definire incrementi contrattuali in linea con quelli riconosciuti mediamente ai lavoratori privati e, comunque, non inferiori a 85 euro mensili medi;</w:t>
      </w:r>
    </w:p>
    <w:p w:rsidR="006D661A" w:rsidRDefault="006D661A">
      <w:pPr>
        <w:jc w:val="both"/>
        <w:rPr>
          <w:rFonts w:cs="Times New Roman"/>
        </w:rPr>
      </w:pPr>
      <w:r>
        <w:rPr>
          <w:rFonts w:cs="Times New Roman"/>
        </w:rPr>
        <w:tab/>
        <w:t>osservato che con la legge di bilancio per il 2017 per il pubblico impiego sono stat</w:t>
      </w:r>
      <w:r w:rsidR="002D2F5A">
        <w:rPr>
          <w:rFonts w:cs="Times New Roman"/>
        </w:rPr>
        <w:t>i</w:t>
      </w:r>
      <w:r>
        <w:rPr>
          <w:rFonts w:cs="Times New Roman"/>
        </w:rPr>
        <w:t xml:space="preserve"> complessivamente stanziati circa 1,9 miliardi di euro per l’anno 2017 e 2,6 miliardi di euro a decorrere dall’anno 2018, destinat</w:t>
      </w:r>
      <w:r w:rsidR="002D2F5A">
        <w:rPr>
          <w:rFonts w:cs="Times New Roman"/>
        </w:rPr>
        <w:t>i</w:t>
      </w:r>
      <w:r>
        <w:rPr>
          <w:rFonts w:cs="Times New Roman"/>
        </w:rPr>
        <w:t xml:space="preserve"> anche alla copertura degli oneri derivanti dalla contrattazione collettiva relativa al triennio 2016-2018;</w:t>
      </w:r>
    </w:p>
    <w:p w:rsidR="006D661A" w:rsidRDefault="006D661A">
      <w:pPr>
        <w:jc w:val="both"/>
        <w:rPr>
          <w:rFonts w:cs="Times New Roman"/>
        </w:rPr>
      </w:pPr>
      <w:r>
        <w:rPr>
          <w:rFonts w:cs="Times New Roman"/>
        </w:rPr>
        <w:tab/>
        <w:t>preso atto con favore che nell’ambito della Nota si evidenza che con la prossima manovra di bilancio si completerà il quadro complessivo delle risorse che consentiranno di proseguire i negoziati e gli incontri finalizzati ai rinnovi contrattuali nel pubblico impiego;</w:t>
      </w:r>
    </w:p>
    <w:p w:rsidR="006D661A" w:rsidRDefault="006D661A">
      <w:pPr>
        <w:spacing w:after="60"/>
        <w:jc w:val="both"/>
        <w:rPr>
          <w:rFonts w:cs="Times New Roman"/>
        </w:rPr>
      </w:pPr>
      <w:r>
        <w:rPr>
          <w:rFonts w:cs="Times New Roman"/>
        </w:rPr>
        <w:tab/>
        <w:t>ritenuto che, al fine di realizzare un’efficace riqualificazione dell’azione delle pubbliche amministrazioni, in linea con gli obiettivi perseguiti dalla riforma avviata con la legge 7 agosto 2015, n. 124, le misure di carattere organizzativo e ordinamentale debbano essere accompagnate da un investimento, anche sotto il profilo finanziario, sul personale pubblico, con interventi volti, in particolare, a completare i rinnovi contrattuali e a rinnovare e ad aggiornare le professionalità esistenti, anche grazie alla progressiva riattivazione delle procedure concorsuali, con il superamento delle limitazioni previste per le nuove assunzioni,</w:t>
      </w:r>
    </w:p>
    <w:p w:rsidR="006D661A" w:rsidRDefault="006D661A">
      <w:pPr>
        <w:jc w:val="both"/>
        <w:rPr>
          <w:rFonts w:cs="Times New Roman"/>
        </w:rPr>
      </w:pPr>
      <w:r>
        <w:rPr>
          <w:rFonts w:cs="Times New Roman"/>
        </w:rPr>
        <w:tab/>
        <w:t xml:space="preserve">esprime </w:t>
      </w:r>
    </w:p>
    <w:p w:rsidR="006D661A" w:rsidRDefault="006D661A">
      <w:pPr>
        <w:jc w:val="both"/>
        <w:rPr>
          <w:rFonts w:cs="Times New Roman"/>
        </w:rPr>
      </w:pPr>
    </w:p>
    <w:p w:rsidR="006D661A" w:rsidRDefault="006D661A">
      <w:pPr>
        <w:jc w:val="center"/>
        <w:rPr>
          <w:rFonts w:cs="Times New Roman"/>
        </w:rPr>
      </w:pPr>
      <w:r>
        <w:rPr>
          <w:rFonts w:cs="Times New Roman"/>
        </w:rPr>
        <w:t>PARERE FAVOREVOLE</w:t>
      </w:r>
    </w:p>
    <w:p w:rsidR="006D661A" w:rsidRDefault="006D661A">
      <w:pPr>
        <w:jc w:val="center"/>
        <w:rPr>
          <w:rFonts w:cs="Times New Roman"/>
        </w:rPr>
      </w:pPr>
    </w:p>
    <w:p w:rsidR="006D661A" w:rsidRDefault="006D661A">
      <w:pPr>
        <w:jc w:val="both"/>
      </w:pPr>
      <w:r>
        <w:rPr>
          <w:rFonts w:cs="Times New Roman"/>
        </w:rPr>
        <w:tab/>
      </w:r>
      <w:r>
        <w:rPr>
          <w:rFonts w:cs="Times New Roman"/>
          <w:i/>
        </w:rPr>
        <w:t>con le seguenti osservazioni:</w:t>
      </w:r>
    </w:p>
    <w:p w:rsidR="006D661A" w:rsidRDefault="006D661A">
      <w:pPr>
        <w:spacing w:line="360" w:lineRule="auto"/>
        <w:jc w:val="both"/>
      </w:pPr>
    </w:p>
    <w:p w:rsidR="006D661A" w:rsidRDefault="006D661A">
      <w:pPr>
        <w:jc w:val="both"/>
        <w:rPr>
          <w:rFonts w:cs="Times New Roman"/>
          <w:i/>
        </w:rPr>
      </w:pPr>
      <w:r>
        <w:rPr>
          <w:rFonts w:cs="Times New Roman"/>
          <w:i/>
        </w:rPr>
        <w:tab/>
      </w:r>
      <w:r>
        <w:rPr>
          <w:rFonts w:cs="Times New Roman"/>
        </w:rPr>
        <w:t>con riferimento agli interventi volti a promuovere la crescita occupazionale, in particolare dei giovani,</w:t>
      </w:r>
      <w:r w:rsidR="00F31C1F">
        <w:rPr>
          <w:rFonts w:cs="Times New Roman"/>
        </w:rPr>
        <w:t xml:space="preserve"> indicati tra i contenuti della prossima manovra,</w:t>
      </w:r>
      <w:r>
        <w:rPr>
          <w:rFonts w:cs="Times New Roman"/>
        </w:rPr>
        <w:t xml:space="preserve"> si rappresenti l'esigenza </w:t>
      </w:r>
      <w:r w:rsidR="00F31C1F">
        <w:rPr>
          <w:rFonts w:cs="Times New Roman"/>
        </w:rPr>
        <w:t>che siano adottati interventi di</w:t>
      </w:r>
      <w:r>
        <w:rPr>
          <w:rFonts w:cs="Times New Roman"/>
        </w:rPr>
        <w:t xml:space="preserve"> carattere strutturale </w:t>
      </w:r>
      <w:r w:rsidR="000456D2">
        <w:rPr>
          <w:rFonts w:cs="Times New Roman"/>
        </w:rPr>
        <w:t xml:space="preserve">e </w:t>
      </w:r>
      <w:r w:rsidR="00D86865">
        <w:rPr>
          <w:rFonts w:cs="Times New Roman"/>
        </w:rPr>
        <w:t>di misura costante</w:t>
      </w:r>
      <w:r w:rsidR="000456D2">
        <w:rPr>
          <w:rFonts w:cs="Times New Roman"/>
        </w:rPr>
        <w:t xml:space="preserve"> nel tempo </w:t>
      </w:r>
      <w:r>
        <w:rPr>
          <w:rFonts w:cs="Times New Roman"/>
        </w:rPr>
        <w:t>volt</w:t>
      </w:r>
      <w:r w:rsidR="00F31C1F">
        <w:rPr>
          <w:rFonts w:cs="Times New Roman"/>
        </w:rPr>
        <w:t>i</w:t>
      </w:r>
      <w:r>
        <w:rPr>
          <w:rFonts w:cs="Times New Roman"/>
        </w:rPr>
        <w:t xml:space="preserve"> a ridurre l'ampiezza del cuneo contributivo per le nuove assunzioni con contratti di lavoro a tempo indeterminato, indirizzat</w:t>
      </w:r>
      <w:r w:rsidR="00F31C1F">
        <w:rPr>
          <w:rFonts w:cs="Times New Roman"/>
        </w:rPr>
        <w:t>i</w:t>
      </w:r>
      <w:r>
        <w:rPr>
          <w:rFonts w:cs="Times New Roman"/>
        </w:rPr>
        <w:t xml:space="preserve"> in primo luogo ai </w:t>
      </w:r>
      <w:r w:rsidR="009963AA">
        <w:rPr>
          <w:rFonts w:cs="Times New Roman"/>
        </w:rPr>
        <w:t>giovani in cerca di occupazione, introducendo disposizion</w:t>
      </w:r>
      <w:r w:rsidR="00862271">
        <w:rPr>
          <w:rFonts w:cs="Times New Roman"/>
        </w:rPr>
        <w:t>i</w:t>
      </w:r>
      <w:r w:rsidR="009963AA">
        <w:rPr>
          <w:rFonts w:cs="Times New Roman"/>
        </w:rPr>
        <w:t xml:space="preserve"> finalizzate ad escludere un utilizzo meramente strumentale dei benefici contributivi;</w:t>
      </w:r>
    </w:p>
    <w:p w:rsidR="006D661A" w:rsidRDefault="006D661A">
      <w:pPr>
        <w:spacing w:line="360" w:lineRule="auto"/>
        <w:ind w:left="426"/>
        <w:jc w:val="both"/>
        <w:rPr>
          <w:rFonts w:cs="Times New Roman"/>
          <w:i/>
        </w:rPr>
      </w:pPr>
    </w:p>
    <w:p w:rsidR="006D661A" w:rsidRDefault="006D661A">
      <w:pPr>
        <w:jc w:val="both"/>
        <w:rPr>
          <w:rFonts w:cs="Times New Roman"/>
          <w:i/>
        </w:rPr>
      </w:pPr>
      <w:r>
        <w:tab/>
        <w:t xml:space="preserve">si </w:t>
      </w:r>
      <w:r>
        <w:rPr>
          <w:rFonts w:cs="Times New Roman"/>
        </w:rPr>
        <w:t>indichi</w:t>
      </w:r>
      <w:r>
        <w:t xml:space="preserve"> l'esigenza di perseguire un progressivo rafforzamento degli interventi di politica attiva del lavoro, in linea con le direttrici della riforma di cui alla legge n. 183 del 2014, verificando, in particolare, l'opportunità di adottare nuove iniziative normative e di prevedere ulteriori finanziamenti </w:t>
      </w:r>
      <w:r w:rsidR="00891660">
        <w:t xml:space="preserve">per </w:t>
      </w:r>
      <w:r w:rsidR="00891660" w:rsidRPr="00891660">
        <w:t xml:space="preserve">interventi specificamente dedicati alle ristrutturazioni delle imprese e ai piani di reindustrializzazione e ad assumere, compatibilmente con i vincoli di finanza pubblica, iniziative per garantire un incremento delle risorse per il </w:t>
      </w:r>
      <w:r w:rsidR="00B35DC3">
        <w:t>F</w:t>
      </w:r>
      <w:r w:rsidR="00891660" w:rsidRPr="00891660">
        <w:t xml:space="preserve">ondo per le politiche attive del lavoro, con l'obiettivo di aumentare e rendere l'offerta di tali politiche coerente </w:t>
      </w:r>
      <w:r w:rsidR="00B35DC3">
        <w:t xml:space="preserve">con </w:t>
      </w:r>
      <w:r w:rsidR="00891660" w:rsidRPr="00891660">
        <w:t>la platea dei</w:t>
      </w:r>
      <w:r w:rsidR="00B35DC3">
        <w:t xml:space="preserve"> potenziali</w:t>
      </w:r>
      <w:r w:rsidR="00891660" w:rsidRPr="00891660">
        <w:t xml:space="preserve"> beneficiari</w:t>
      </w:r>
      <w:r w:rsidR="00891660">
        <w:t>, nonché per</w:t>
      </w:r>
      <w:r>
        <w:t xml:space="preserve"> consentire all</w:t>
      </w:r>
      <w:bookmarkStart w:id="0" w:name="yui_3_10_0_1_1506980287817_385"/>
      <w:bookmarkEnd w:id="0"/>
      <w:r>
        <w:t xml:space="preserve">'Agenzia nazionale per le politiche attive del lavoro di svolgere adeguatamente le proprie funzioni e </w:t>
      </w:r>
      <w:r w:rsidR="00B35DC3">
        <w:t xml:space="preserve">per </w:t>
      </w:r>
      <w:r>
        <w:t>valorizzare le professionalità attualmente in servizio, con contratti di lavoro di carattere temporaneo, nel sistema delle politiche attive del lavoro;</w:t>
      </w:r>
    </w:p>
    <w:p w:rsidR="006D661A" w:rsidRDefault="006D661A">
      <w:pPr>
        <w:spacing w:line="360" w:lineRule="auto"/>
        <w:ind w:left="426"/>
        <w:jc w:val="both"/>
        <w:rPr>
          <w:rFonts w:cs="Times New Roman"/>
          <w:i/>
        </w:rPr>
      </w:pPr>
    </w:p>
    <w:p w:rsidR="006D661A" w:rsidRDefault="006D661A">
      <w:pPr>
        <w:jc w:val="both"/>
        <w:rPr>
          <w:i/>
          <w:iCs/>
        </w:rPr>
      </w:pPr>
      <w:r>
        <w:tab/>
        <w:t xml:space="preserve">al fine di perseguire l'obiettivo di una maggiore partecipazione delle donne al mondo del lavoro e di una più equilibrata condivisione </w:t>
      </w:r>
      <w:r>
        <w:rPr>
          <w:rFonts w:eastAsia="AsterStcc-Regular" w:cs="AsterStcc-Regular"/>
        </w:rPr>
        <w:t xml:space="preserve">delle responsabilità </w:t>
      </w:r>
      <w:r>
        <w:t xml:space="preserve">e dei lavori di cura e di </w:t>
      </w:r>
      <w:r>
        <w:rPr>
          <w:rFonts w:eastAsia="AsterStcc-Regular" w:cs="AsterStcc-Regular"/>
        </w:rPr>
        <w:t>assistenza familiare all’interno delle coppie,</w:t>
      </w:r>
      <w:r>
        <w:t xml:space="preserve"> in conformità anche con le indicazioni che emergono dalle raccomandazioni delle Istituzioni europee</w:t>
      </w:r>
      <w:r w:rsidR="009963AA">
        <w:t xml:space="preserve"> e del Comitato per l’eliminazione della discriminazione contro le donne (CEDAW)</w:t>
      </w:r>
      <w:r>
        <w:t>, si segnali l'esigenza di:</w:t>
      </w:r>
    </w:p>
    <w:p w:rsidR="006D661A" w:rsidRDefault="006D661A">
      <w:pPr>
        <w:jc w:val="both"/>
        <w:rPr>
          <w:rFonts w:eastAsia="AsterStcc-Regular" w:cs="AsterStcc-Regular"/>
        </w:rPr>
      </w:pPr>
      <w:r>
        <w:rPr>
          <w:i/>
          <w:iCs/>
        </w:rPr>
        <w:tab/>
        <w:t>a)</w:t>
      </w:r>
      <w:r>
        <w:t xml:space="preserve"> </w:t>
      </w:r>
      <w:r>
        <w:rPr>
          <w:rFonts w:eastAsia="AsterStcc-Regular" w:cs="AsterStcc-Regular"/>
        </w:rPr>
        <w:t>rendere permanente e ampliare ulteriormente in termini di durata il congedo di paternità riconosciuto fino all’anno 2018 dalla legge di bilancio del 2017</w:t>
      </w:r>
      <w:r w:rsidR="00C17568">
        <w:rPr>
          <w:rFonts w:eastAsia="AsterStcc-Regular" w:cs="AsterStcc-Regular"/>
        </w:rPr>
        <w:t>;</w:t>
      </w:r>
    </w:p>
    <w:p w:rsidR="006D661A" w:rsidRDefault="006D661A">
      <w:pPr>
        <w:jc w:val="both"/>
        <w:rPr>
          <w:rFonts w:eastAsia="AsterStcc-Regular" w:cs="AsterStcc-Regular"/>
        </w:rPr>
      </w:pPr>
      <w:r>
        <w:rPr>
          <w:rFonts w:eastAsia="AsterStcc-Regular" w:cs="AsterStcc-Regular"/>
        </w:rPr>
        <w:tab/>
      </w:r>
      <w:r>
        <w:rPr>
          <w:rFonts w:eastAsia="AsterStcc-Regular" w:cs="AsterStcc-Regular"/>
          <w:i/>
          <w:iCs/>
        </w:rPr>
        <w:t>b)</w:t>
      </w:r>
      <w:r>
        <w:rPr>
          <w:rFonts w:eastAsia="AsterStcc-Regular" w:cs="AsterStcc-Regular"/>
        </w:rPr>
        <w:t xml:space="preserve"> rendere permanente la disciplina relativa al riconoscimento, in alternativa al congedo parentale, di </w:t>
      </w:r>
      <w:r>
        <w:rPr>
          <w:rFonts w:eastAsia="AsterStcc-Regular" w:cs="AsterStcc-Regular"/>
          <w:i/>
          <w:iCs/>
        </w:rPr>
        <w:t>voucher</w:t>
      </w:r>
      <w:r>
        <w:rPr>
          <w:rFonts w:eastAsia="AsterStcc-Regular" w:cs="AsterStcc-Regular"/>
        </w:rPr>
        <w:t xml:space="preserve"> per l’acquisto di servizi di </w:t>
      </w:r>
      <w:r>
        <w:rPr>
          <w:rFonts w:eastAsia="AsterStcc-Regular" w:cs="AsterStcc-Regular"/>
          <w:i/>
          <w:iCs/>
        </w:rPr>
        <w:t xml:space="preserve">baby </w:t>
      </w:r>
      <w:proofErr w:type="spellStart"/>
      <w:r>
        <w:rPr>
          <w:rFonts w:eastAsia="AsterStcc-Regular" w:cs="AsterStcc-Regular"/>
          <w:i/>
          <w:iCs/>
        </w:rPr>
        <w:t>sitting</w:t>
      </w:r>
      <w:proofErr w:type="spellEnd"/>
      <w:r>
        <w:rPr>
          <w:rFonts w:eastAsia="AsterStcc-Regular" w:cs="AsterStcc-Regular"/>
        </w:rPr>
        <w:t xml:space="preserve"> oppure di contributi per fare fronte agli oneri della rete pubblica dei servizi per l’infanzia o dei servizi privati accreditati;</w:t>
      </w:r>
    </w:p>
    <w:p w:rsidR="006D661A" w:rsidRDefault="006D661A">
      <w:pPr>
        <w:jc w:val="both"/>
      </w:pPr>
      <w:r>
        <w:rPr>
          <w:rFonts w:eastAsia="AsterStcc-Regular" w:cs="AsterStcc-Regular"/>
        </w:rPr>
        <w:tab/>
      </w:r>
      <w:r>
        <w:rPr>
          <w:rFonts w:eastAsia="AsterStcc-Regular" w:cs="AsterStcc-Regular"/>
          <w:i/>
          <w:iCs/>
        </w:rPr>
        <w:t xml:space="preserve">c) </w:t>
      </w:r>
      <w:r>
        <w:rPr>
          <w:rFonts w:eastAsia="AsterStcc-Regular" w:cs="AsterStcc-Regular"/>
        </w:rPr>
        <w:t>dare continuità ai finanziamenti destinati a sostenere i contratti collettivi di secondo livello che prevedono istituti volti a favorire la conciliazione de</w:t>
      </w:r>
      <w:r w:rsidR="00D86865">
        <w:rPr>
          <w:rFonts w:eastAsia="AsterStcc-Regular" w:cs="AsterStcc-Regular"/>
        </w:rPr>
        <w:t>i</w:t>
      </w:r>
      <w:r>
        <w:rPr>
          <w:rFonts w:eastAsia="AsterStcc-Regular" w:cs="AsterStcc-Regular"/>
        </w:rPr>
        <w:t xml:space="preserve"> tempi di vita e di lavoro;</w:t>
      </w:r>
    </w:p>
    <w:p w:rsidR="006D661A" w:rsidRPr="00C17568" w:rsidRDefault="006D661A" w:rsidP="00C17568">
      <w:pPr>
        <w:spacing w:line="360" w:lineRule="auto"/>
        <w:ind w:left="426"/>
        <w:jc w:val="both"/>
        <w:rPr>
          <w:rFonts w:cs="Times New Roman"/>
        </w:rPr>
      </w:pPr>
    </w:p>
    <w:p w:rsidR="006D661A" w:rsidRDefault="006D661A" w:rsidP="00D86865">
      <w:pPr>
        <w:jc w:val="both"/>
        <w:rPr>
          <w:rFonts w:cs="Times New Roman"/>
        </w:rPr>
      </w:pPr>
      <w:r>
        <w:tab/>
        <w:t xml:space="preserve">si segnali l'opportunità che, in un contesto produttivo nel quale permangono </w:t>
      </w:r>
      <w:r w:rsidR="00F051FC">
        <w:t xml:space="preserve">gli </w:t>
      </w:r>
      <w:r>
        <w:t xml:space="preserve">effetti sul piano occupazionale della profonda e prolungata crisi economica degli ultimi anni, </w:t>
      </w:r>
      <w:r w:rsidR="00B35DC3">
        <w:t xml:space="preserve">testimoniati dagli oltre centocinquanta tavoli di crisi ancora aperti </w:t>
      </w:r>
      <w:r w:rsidR="000456D2">
        <w:t>presso il Ministero dello sviluppo economico</w:t>
      </w:r>
      <w:r w:rsidR="00B35DC3">
        <w:t>,</w:t>
      </w:r>
      <w:r w:rsidR="000456D2">
        <w:t xml:space="preserve"> </w:t>
      </w:r>
      <w:r w:rsidR="00D86865">
        <w:t xml:space="preserve">nella disciplina </w:t>
      </w:r>
      <w:r w:rsidR="00B35DC3">
        <w:t>de</w:t>
      </w:r>
      <w:r w:rsidR="00D86865">
        <w:t xml:space="preserve">gli ammortizzatori sociali </w:t>
      </w:r>
      <w:r>
        <w:t xml:space="preserve">siano introdotti elementi di </w:t>
      </w:r>
      <w:r w:rsidR="00D86865">
        <w:t xml:space="preserve">maggiore </w:t>
      </w:r>
      <w:r>
        <w:t>flessibilità</w:t>
      </w:r>
      <w:r w:rsidR="00D86865">
        <w:t>, anche con riferimento alla durata degli interventi</w:t>
      </w:r>
      <w:r>
        <w:t xml:space="preserve">, specialmente nelle aree di crisi complessa e per le imprese in via di ristrutturazione; </w:t>
      </w:r>
    </w:p>
    <w:p w:rsidR="00D86865" w:rsidRDefault="00D86865" w:rsidP="00D86865">
      <w:pPr>
        <w:jc w:val="both"/>
        <w:rPr>
          <w:rFonts w:cs="Times New Roman"/>
        </w:rPr>
      </w:pPr>
    </w:p>
    <w:p w:rsidR="006D661A" w:rsidRDefault="006D661A">
      <w:pPr>
        <w:jc w:val="both"/>
      </w:pPr>
      <w:r>
        <w:tab/>
        <w:t>con riferimento agli interventi in materia previdenziale, si indichi la necessità di:</w:t>
      </w:r>
    </w:p>
    <w:p w:rsidR="006D661A" w:rsidRDefault="006D661A">
      <w:pPr>
        <w:jc w:val="both"/>
        <w:rPr>
          <w:bCs/>
        </w:rPr>
      </w:pPr>
      <w:r>
        <w:tab/>
      </w:r>
      <w:r>
        <w:rPr>
          <w:i/>
          <w:iCs/>
        </w:rPr>
        <w:t xml:space="preserve">a) </w:t>
      </w:r>
      <w:r>
        <w:rPr>
          <w:bCs/>
        </w:rPr>
        <w:t>adottare iniziative volte a rinviare al 30 giugno 2018 il termine per</w:t>
      </w:r>
      <w:bookmarkStart w:id="1" w:name="_GoBack1"/>
      <w:bookmarkEnd w:id="1"/>
      <w:r>
        <w:rPr>
          <w:bCs/>
        </w:rPr>
        <w:t xml:space="preserve"> l’emanazione del decreto direttoriale di cui all’articolo 12, comma 12</w:t>
      </w:r>
      <w:r>
        <w:rPr>
          <w:bCs/>
          <w:i/>
          <w:iCs/>
        </w:rPr>
        <w:t>-bis</w:t>
      </w:r>
      <w:r>
        <w:rPr>
          <w:bCs/>
        </w:rPr>
        <w:t>, del decreto-legge n. 78 del 2010, convertito, con modificazioni dalla legge n. 122 del 2010, al fine d</w:t>
      </w:r>
      <w:r w:rsidR="000456D2">
        <w:rPr>
          <w:bCs/>
        </w:rPr>
        <w:t xml:space="preserve">i valutare eventuali interventi che ricalibrino il meccanismo al fine di tenere conto delle oscillazioni che </w:t>
      </w:r>
      <w:r w:rsidR="00F051FC">
        <w:rPr>
          <w:bCs/>
        </w:rPr>
        <w:t xml:space="preserve">si </w:t>
      </w:r>
      <w:r w:rsidR="000456D2">
        <w:rPr>
          <w:bCs/>
        </w:rPr>
        <w:t>riscontrano nell’andamento della speranza di vita, testimoniate dalla riduzione registrata nell’anno 2015</w:t>
      </w:r>
      <w:r w:rsidR="00F051FC">
        <w:rPr>
          <w:bCs/>
        </w:rPr>
        <w:t>,</w:t>
      </w:r>
      <w:r w:rsidR="000456D2">
        <w:rPr>
          <w:bCs/>
        </w:rPr>
        <w:t xml:space="preserve"> e </w:t>
      </w:r>
      <w:r>
        <w:rPr>
          <w:bCs/>
        </w:rPr>
        <w:t>delle difformità esistenti nelle speranze di vita delle diverse categorie di lavoratrici e di lavoratori</w:t>
      </w:r>
      <w:r w:rsidR="00891660">
        <w:rPr>
          <w:bCs/>
        </w:rPr>
        <w:t>;</w:t>
      </w:r>
      <w:r>
        <w:rPr>
          <w:bCs/>
        </w:rPr>
        <w:t xml:space="preserve"> </w:t>
      </w:r>
    </w:p>
    <w:p w:rsidR="006D661A" w:rsidRDefault="006D661A">
      <w:pPr>
        <w:jc w:val="both"/>
      </w:pPr>
      <w:r>
        <w:rPr>
          <w:i/>
          <w:iCs/>
        </w:rPr>
        <w:tab/>
        <w:t>b)</w:t>
      </w:r>
      <w:r>
        <w:t xml:space="preserve"> svolgere un attento </w:t>
      </w:r>
      <w:r>
        <w:rPr>
          <w:rFonts w:cs="Times New Roman"/>
        </w:rPr>
        <w:t>monitoraggio</w:t>
      </w:r>
      <w:r>
        <w:t xml:space="preserve"> delle domande di accesso ai benefici previsti dalla legge di bilancio 2017 in materia di anticipo </w:t>
      </w:r>
      <w:r w:rsidR="00D86865">
        <w:t>de</w:t>
      </w:r>
      <w:r>
        <w:t xml:space="preserve">l pensionamento e di riduzione dei requisiti contributivi per il pensionamento anticipato dei cosiddetti lavoratori precoci al fine di valutare l'introduzione di eventuali correttivi </w:t>
      </w:r>
      <w:r w:rsidR="00891660">
        <w:t>a</w:t>
      </w:r>
      <w:r>
        <w:t>lla normativa vigente, anche allo scopo di consentire a tutti i richiedenti in possesso dei requisiti previsti di accedere ai medesimi benefici;</w:t>
      </w:r>
    </w:p>
    <w:p w:rsidR="00891660" w:rsidRDefault="00891660" w:rsidP="00891660">
      <w:pPr>
        <w:jc w:val="both"/>
      </w:pPr>
      <w:r>
        <w:tab/>
      </w:r>
      <w:r>
        <w:rPr>
          <w:i/>
        </w:rPr>
        <w:t>c)</w:t>
      </w:r>
      <w:r w:rsidR="000456D2">
        <w:t xml:space="preserve"> tenere conto </w:t>
      </w:r>
      <w:r w:rsidRPr="00891660">
        <w:t>degli indirizzi per la cosiddetta “fase due”, contenuti nel verbale siglato il 28 settembre 2016 da Governo e sindacati e ulteriormente precisati nell’ambito del confronto svolto negli ultimi mesi, prestando particolare attenzione a interventi specifici volti a valorizzare e a riconoscere a fini previdenziali i lavori di cura</w:t>
      </w:r>
      <w:r>
        <w:t xml:space="preserve">, anche alla luce degli esiti dell’indagine conoscitiva svolta dalla </w:t>
      </w:r>
      <w:r w:rsidR="00D86865">
        <w:t xml:space="preserve">XI </w:t>
      </w:r>
      <w:r>
        <w:t>Commissione</w:t>
      </w:r>
      <w:r w:rsidR="00D86865">
        <w:t xml:space="preserve"> </w:t>
      </w:r>
      <w:r>
        <w:t xml:space="preserve"> sull’impatto in termini di genere della normativa previdenziale e sulle disparità esistenti in materia di trattamenti pensionistici tra uomini e donne;</w:t>
      </w:r>
    </w:p>
    <w:p w:rsidR="000456D2" w:rsidRDefault="000456D2" w:rsidP="00891660">
      <w:pPr>
        <w:jc w:val="both"/>
      </w:pPr>
    </w:p>
    <w:p w:rsidR="000456D2" w:rsidRPr="000456D2" w:rsidRDefault="000456D2" w:rsidP="00891660">
      <w:pPr>
        <w:jc w:val="both"/>
        <w:rPr>
          <w:rFonts w:cs="Times New Roman"/>
          <w:i/>
        </w:rPr>
      </w:pPr>
      <w:r>
        <w:tab/>
        <w:t>considerata la presenza di un</w:t>
      </w:r>
      <w:r w:rsidR="00317726">
        <w:t>a</w:t>
      </w:r>
      <w:r>
        <w:t xml:space="preserve"> significativ</w:t>
      </w:r>
      <w:r w:rsidR="00317726">
        <w:t xml:space="preserve">a differenza tra il numero stimato dei beneficiari della cosiddetta </w:t>
      </w:r>
      <w:r w:rsidR="00317726">
        <w:rPr>
          <w:rFonts w:cs="Times New Roman"/>
        </w:rPr>
        <w:t>«</w:t>
      </w:r>
      <w:r w:rsidR="00317726">
        <w:t>ottava salvaguardia</w:t>
      </w:r>
      <w:r w:rsidR="00317726">
        <w:rPr>
          <w:rFonts w:cs="Times New Roman"/>
        </w:rPr>
        <w:t>»</w:t>
      </w:r>
      <w:r w:rsidR="00317726">
        <w:t xml:space="preserve"> e quello delle domande accolte o giacenti, si evidenzi l’esigenza di verificare </w:t>
      </w:r>
      <w:r>
        <w:t>la sussistenza e la consistenza di economie, anche in via p</w:t>
      </w:r>
      <w:r w:rsidR="00B35DC3">
        <w:t>rospettica, rispetto ai limiti</w:t>
      </w:r>
      <w:r>
        <w:t xml:space="preserve"> di spesa previsti dai provvedimenti di salvaguardia, al fine di definire i contenuti di possibili interventi legislativi </w:t>
      </w:r>
      <w:r w:rsidR="00D86865">
        <w:t xml:space="preserve">in materia sociale o previdenziale </w:t>
      </w:r>
      <w:r>
        <w:t>finanziati a valere sulle risorse destinate a confluire nel Fondo sociale per occupazione e formazione ai sensi dell’articolo 1, comma 211, della legge di bilancio 2017</w:t>
      </w:r>
      <w:r w:rsidR="00317726">
        <w:t>;</w:t>
      </w:r>
    </w:p>
    <w:p w:rsidR="006D661A" w:rsidRDefault="006D661A">
      <w:pPr>
        <w:jc w:val="both"/>
        <w:rPr>
          <w:rFonts w:cs="Times New Roman"/>
        </w:rPr>
      </w:pPr>
    </w:p>
    <w:p w:rsidR="006D661A" w:rsidRDefault="006D661A" w:rsidP="00D43968">
      <w:pPr>
        <w:jc w:val="both"/>
        <w:rPr>
          <w:rFonts w:cs="Times New Roman"/>
        </w:rPr>
      </w:pPr>
      <w:r>
        <w:rPr>
          <w:rFonts w:cs="Times New Roman"/>
        </w:rPr>
        <w:tab/>
        <w:t>si rappresenti l’esigenza, in conformità all’obiettivo di sostenere i redditi delle famiglie più povere,</w:t>
      </w:r>
      <w:r>
        <w:rPr>
          <w:rFonts w:cs="Times New Roman"/>
          <w:i/>
        </w:rPr>
        <w:t xml:space="preserve"> </w:t>
      </w:r>
      <w:r>
        <w:rPr>
          <w:rFonts w:cs="Times New Roman"/>
        </w:rPr>
        <w:t xml:space="preserve">indicato dalla Nota di aggiornamento e dalla relazione di cui all’articolo 6, comma 5, della legge 24 dicembre 2012, n. 243, di definire un percorso di progressivo incremento delle risorse destinate al finanziamento del Reddito di inclusione, al fine di procedere, attraverso il Piano nazionale per la lotta alla povertà e all’esclusione sociale, nella direzione dell’estensione della misura fino all'integrale copertura dei nuclei familiari in condizioni di povertà e </w:t>
      </w:r>
      <w:r w:rsidR="00D43968">
        <w:rPr>
          <w:rFonts w:cs="Times New Roman"/>
        </w:rPr>
        <w:t>del</w:t>
      </w:r>
      <w:r w:rsidR="00D43968" w:rsidRPr="00D43968">
        <w:rPr>
          <w:rFonts w:cs="Times New Roman"/>
        </w:rPr>
        <w:t>l’incremento dell’importo</w:t>
      </w:r>
      <w:r w:rsidR="00D43968">
        <w:rPr>
          <w:rFonts w:cs="Times New Roman"/>
        </w:rPr>
        <w:t xml:space="preserve"> del beneficio economico</w:t>
      </w:r>
      <w:r w:rsidR="00D43968" w:rsidRPr="00D43968">
        <w:rPr>
          <w:rFonts w:cs="Times New Roman"/>
        </w:rPr>
        <w:t xml:space="preserve"> </w:t>
      </w:r>
      <w:r w:rsidR="00D43968">
        <w:rPr>
          <w:rFonts w:cs="Times New Roman"/>
        </w:rPr>
        <w:t>f</w:t>
      </w:r>
      <w:r w:rsidR="00D43968" w:rsidRPr="00D43968">
        <w:rPr>
          <w:rFonts w:cs="Times New Roman"/>
        </w:rPr>
        <w:t xml:space="preserve">ino </w:t>
      </w:r>
      <w:r w:rsidR="00D43968">
        <w:rPr>
          <w:rFonts w:cs="Times New Roman"/>
        </w:rPr>
        <w:t>alla copertura della</w:t>
      </w:r>
      <w:r w:rsidR="00D43968" w:rsidRPr="00D43968">
        <w:rPr>
          <w:rFonts w:cs="Times New Roman"/>
        </w:rPr>
        <w:t xml:space="preserve"> differenza tra il reddito disponibile e la soglia </w:t>
      </w:r>
      <w:r w:rsidR="00D43968">
        <w:rPr>
          <w:rFonts w:cs="Times New Roman"/>
        </w:rPr>
        <w:t>di</w:t>
      </w:r>
      <w:r w:rsidR="00D43968" w:rsidRPr="00D43968">
        <w:rPr>
          <w:rFonts w:cs="Times New Roman"/>
        </w:rPr>
        <w:t xml:space="preserve"> </w:t>
      </w:r>
      <w:r w:rsidR="00D43968">
        <w:rPr>
          <w:rFonts w:cs="Times New Roman"/>
        </w:rPr>
        <w:t xml:space="preserve">uscita dalla </w:t>
      </w:r>
      <w:r w:rsidR="00D43968" w:rsidRPr="00D43968">
        <w:rPr>
          <w:rFonts w:cs="Times New Roman"/>
        </w:rPr>
        <w:t>povertà assoluta</w:t>
      </w:r>
      <w:r w:rsidR="00D43968">
        <w:rPr>
          <w:rFonts w:cs="Times New Roman"/>
        </w:rPr>
        <w:t>;</w:t>
      </w:r>
    </w:p>
    <w:p w:rsidR="00D43968" w:rsidRDefault="00D43968" w:rsidP="00D43968">
      <w:pPr>
        <w:jc w:val="both"/>
        <w:rPr>
          <w:rFonts w:cs="Times New Roman"/>
        </w:rPr>
      </w:pPr>
    </w:p>
    <w:p w:rsidR="006D661A" w:rsidRDefault="006D661A" w:rsidP="005527D0">
      <w:pPr>
        <w:spacing w:line="100" w:lineRule="atLeast"/>
        <w:jc w:val="both"/>
      </w:pPr>
      <w:r>
        <w:rPr>
          <w:rFonts w:cs="Times New Roman"/>
        </w:rPr>
        <w:tab/>
        <w:t>si segnali la necessità che, in linea con quanto rappresentato nella Nota di aggiornamento, nella prossima legge di bilancio siano stanziate le risorse finanziarie necessarie a consentire il completamento del confronto in cors</w:t>
      </w:r>
      <w:r w:rsidR="00F051FC">
        <w:rPr>
          <w:rFonts w:cs="Times New Roman"/>
        </w:rPr>
        <w:t xml:space="preserve">o per il rinnovo dei contratti </w:t>
      </w:r>
      <w:r>
        <w:rPr>
          <w:rFonts w:cs="Times New Roman"/>
        </w:rPr>
        <w:t xml:space="preserve">collettivi per il pubblico impiego riferito al triennio 2016-2018, valutando altresì l’esigenza di </w:t>
      </w:r>
      <w:r w:rsidR="005527D0">
        <w:rPr>
          <w:rFonts w:cs="Times New Roman"/>
        </w:rPr>
        <w:t xml:space="preserve">superare le limitazioni alle assunzioni previste dalla legislazione vigente ed avviare conseguentemente </w:t>
      </w:r>
      <w:r>
        <w:rPr>
          <w:rFonts w:cs="Times New Roman"/>
        </w:rPr>
        <w:t>procedure di reclutamento</w:t>
      </w:r>
      <w:r w:rsidR="005527D0">
        <w:rPr>
          <w:rFonts w:cs="Times New Roman"/>
        </w:rPr>
        <w:t>, anche attingendo alla graduatorie ancora vigenti e garantendo l’assorbimento del personale precario nei termini previsti dall’articolo 20 del decreto legislativo</w:t>
      </w:r>
      <w:r w:rsidR="005527D0" w:rsidRPr="005527D0">
        <w:rPr>
          <w:rFonts w:cs="Times New Roman"/>
        </w:rPr>
        <w:t xml:space="preserve"> 25</w:t>
      </w:r>
      <w:r w:rsidR="005527D0">
        <w:rPr>
          <w:rFonts w:cs="Times New Roman"/>
        </w:rPr>
        <w:t xml:space="preserve"> maggio </w:t>
      </w:r>
      <w:r w:rsidR="005527D0" w:rsidRPr="005527D0">
        <w:rPr>
          <w:rFonts w:cs="Times New Roman"/>
        </w:rPr>
        <w:t>2017</w:t>
      </w:r>
      <w:r w:rsidR="005527D0">
        <w:rPr>
          <w:rFonts w:cs="Times New Roman"/>
        </w:rPr>
        <w:t>,</w:t>
      </w:r>
      <w:r w:rsidR="005527D0" w:rsidRPr="005527D0">
        <w:rPr>
          <w:rFonts w:cs="Times New Roman"/>
        </w:rPr>
        <w:t xml:space="preserve"> n. 75</w:t>
      </w:r>
      <w:r w:rsidR="005527D0">
        <w:rPr>
          <w:rFonts w:cs="Times New Roman"/>
        </w:rPr>
        <w:t xml:space="preserve">; </w:t>
      </w:r>
    </w:p>
    <w:p w:rsidR="006D661A" w:rsidRDefault="006D661A">
      <w:pPr>
        <w:spacing w:line="100" w:lineRule="atLeast"/>
        <w:jc w:val="both"/>
      </w:pPr>
    </w:p>
    <w:p w:rsidR="006D661A" w:rsidRDefault="006D661A">
      <w:pPr>
        <w:spacing w:line="100" w:lineRule="atLeast"/>
        <w:jc w:val="both"/>
      </w:pPr>
      <w:r>
        <w:rPr>
          <w:rFonts w:cs="Times New Roman"/>
        </w:rPr>
        <w:tab/>
        <w:t>anche alla luce dei dati riportati negli allegati III e IV, relativi alle attività di contrasto all'evasione contributiva svolta dal Ministero del lavoro e delle politiche sociali e dall'Ispettorato nazionale del lavoro</w:t>
      </w:r>
      <w:r w:rsidR="00D43968">
        <w:rPr>
          <w:rFonts w:cs="Times New Roman"/>
        </w:rPr>
        <w:t>, nonché de</w:t>
      </w:r>
      <w:r w:rsidR="00D43968" w:rsidRPr="00D43968">
        <w:rPr>
          <w:rFonts w:cs="Times New Roman"/>
        </w:rPr>
        <w:t xml:space="preserve">gli ambiziosi obiettivi </w:t>
      </w:r>
      <w:r w:rsidR="00D43968">
        <w:rPr>
          <w:rFonts w:cs="Times New Roman"/>
        </w:rPr>
        <w:t>ivi indicati</w:t>
      </w:r>
      <w:r w:rsidR="00D43968" w:rsidRPr="00D43968">
        <w:rPr>
          <w:rFonts w:cs="Times New Roman"/>
        </w:rPr>
        <w:t xml:space="preserve"> in materia di contrasto del caporalato, dell'interposizione fittizia di manodop</w:t>
      </w:r>
      <w:r w:rsidR="00D43968">
        <w:rPr>
          <w:rFonts w:cs="Times New Roman"/>
        </w:rPr>
        <w:t>e</w:t>
      </w:r>
      <w:r w:rsidR="00D43968" w:rsidRPr="00D43968">
        <w:rPr>
          <w:rFonts w:cs="Times New Roman"/>
        </w:rPr>
        <w:t>ra</w:t>
      </w:r>
      <w:r w:rsidR="00D43968">
        <w:rPr>
          <w:rFonts w:cs="Times New Roman"/>
        </w:rPr>
        <w:t xml:space="preserve"> e</w:t>
      </w:r>
      <w:r w:rsidR="00D43968" w:rsidRPr="00D43968">
        <w:rPr>
          <w:rFonts w:cs="Times New Roman"/>
        </w:rPr>
        <w:t xml:space="preserve"> d</w:t>
      </w:r>
      <w:r w:rsidR="00D43968">
        <w:rPr>
          <w:rFonts w:cs="Times New Roman"/>
        </w:rPr>
        <w:t xml:space="preserve">ella retribuzione </w:t>
      </w:r>
      <w:r w:rsidR="00D43968" w:rsidRPr="00D43968">
        <w:rPr>
          <w:rFonts w:cs="Times New Roman"/>
        </w:rPr>
        <w:t>dei lavoratori</w:t>
      </w:r>
      <w:r w:rsidR="00D43968">
        <w:rPr>
          <w:rFonts w:cs="Times New Roman"/>
        </w:rPr>
        <w:t xml:space="preserve"> a livelli inferiori</w:t>
      </w:r>
      <w:r w:rsidR="00D43968" w:rsidRPr="00D43968">
        <w:rPr>
          <w:rFonts w:cs="Times New Roman"/>
        </w:rPr>
        <w:t xml:space="preserve"> rispetto a</w:t>
      </w:r>
      <w:r w:rsidR="00D43968">
        <w:rPr>
          <w:rFonts w:cs="Times New Roman"/>
        </w:rPr>
        <w:t>lle previsioni</w:t>
      </w:r>
      <w:r w:rsidR="00D43968" w:rsidRPr="00D43968">
        <w:rPr>
          <w:rFonts w:cs="Times New Roman"/>
        </w:rPr>
        <w:t xml:space="preserve"> d</w:t>
      </w:r>
      <w:r w:rsidR="00D43968">
        <w:rPr>
          <w:rFonts w:cs="Times New Roman"/>
        </w:rPr>
        <w:t>e</w:t>
      </w:r>
      <w:r w:rsidR="00D43968" w:rsidRPr="00D43968">
        <w:rPr>
          <w:rFonts w:cs="Times New Roman"/>
        </w:rPr>
        <w:t xml:space="preserve">i contratti </w:t>
      </w:r>
      <w:r w:rsidR="00D43968">
        <w:rPr>
          <w:rFonts w:cs="Times New Roman"/>
        </w:rPr>
        <w:t xml:space="preserve">collettivi </w:t>
      </w:r>
      <w:r w:rsidR="00D43968" w:rsidRPr="00D43968">
        <w:rPr>
          <w:rFonts w:cs="Times New Roman"/>
        </w:rPr>
        <w:t xml:space="preserve">stipulati dalle organizzazioni </w:t>
      </w:r>
      <w:r w:rsidR="00D43968">
        <w:rPr>
          <w:rFonts w:cs="Times New Roman"/>
        </w:rPr>
        <w:t>maggiormente</w:t>
      </w:r>
      <w:r w:rsidR="00D43968" w:rsidRPr="00D43968">
        <w:rPr>
          <w:rFonts w:cs="Times New Roman"/>
        </w:rPr>
        <w:t xml:space="preserve"> rappresentative</w:t>
      </w:r>
      <w:r w:rsidR="00D43968">
        <w:rPr>
          <w:rFonts w:cs="Times New Roman"/>
        </w:rPr>
        <w:t xml:space="preserve">, </w:t>
      </w:r>
      <w:r>
        <w:rPr>
          <w:rFonts w:cs="Times New Roman"/>
        </w:rPr>
        <w:t xml:space="preserve">si rappresenti l'esigenza di individuare misure volte a integrare l'organico degli ispettori in servizio a livello territoriale, che nell'anno 2016 ha registrato una </w:t>
      </w:r>
      <w:r w:rsidR="00B35DC3">
        <w:rPr>
          <w:rFonts w:cs="Times New Roman"/>
        </w:rPr>
        <w:t>riduzione</w:t>
      </w:r>
      <w:r>
        <w:rPr>
          <w:rFonts w:cs="Times New Roman"/>
        </w:rPr>
        <w:t xml:space="preserve"> di circa 2,7 punti percentuali.</w:t>
      </w:r>
    </w:p>
    <w:p w:rsidR="006D661A" w:rsidRDefault="006D661A">
      <w:pPr>
        <w:jc w:val="both"/>
      </w:pPr>
    </w:p>
    <w:sectPr w:rsidR="006D661A">
      <w:pgSz w:w="11906" w:h="16838"/>
      <w:pgMar w:top="1134" w:right="1134" w:bottom="1134" w:left="1134" w:header="720" w:footer="720" w:gutter="0"/>
      <w:cols w:space="720"/>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81" w:rsidRDefault="00CA0281">
      <w:r>
        <w:separator/>
      </w:r>
    </w:p>
  </w:endnote>
  <w:endnote w:type="continuationSeparator" w:id="0">
    <w:p w:rsidR="00CA0281" w:rsidRDefault="00CA0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sterStcc-Regular">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81" w:rsidRDefault="00CA0281">
      <w:r>
        <w:separator/>
      </w:r>
    </w:p>
  </w:footnote>
  <w:footnote w:type="continuationSeparator" w:id="0">
    <w:p w:rsidR="00CA0281" w:rsidRDefault="00CA0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786"/>
        </w:tabs>
        <w:ind w:left="786" w:hanging="360"/>
      </w:pPr>
      <w:rPr>
        <w:rFonts w:cs="Times New Roman"/>
        <w:i/>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
  <w:rsids>
    <w:rsidRoot w:val="00891660"/>
    <w:rsid w:val="00007486"/>
    <w:rsid w:val="000456D2"/>
    <w:rsid w:val="00215398"/>
    <w:rsid w:val="002470B0"/>
    <w:rsid w:val="002D2F5A"/>
    <w:rsid w:val="00317726"/>
    <w:rsid w:val="004113C0"/>
    <w:rsid w:val="005527D0"/>
    <w:rsid w:val="006D661A"/>
    <w:rsid w:val="007469DC"/>
    <w:rsid w:val="00844113"/>
    <w:rsid w:val="00862271"/>
    <w:rsid w:val="00891660"/>
    <w:rsid w:val="00940D46"/>
    <w:rsid w:val="009963AA"/>
    <w:rsid w:val="00A10BDB"/>
    <w:rsid w:val="00B35DC3"/>
    <w:rsid w:val="00BB485A"/>
    <w:rsid w:val="00BE0F2E"/>
    <w:rsid w:val="00C17568"/>
    <w:rsid w:val="00CA0281"/>
    <w:rsid w:val="00D43968"/>
    <w:rsid w:val="00D86865"/>
    <w:rsid w:val="00DC4635"/>
    <w:rsid w:val="00EC24BD"/>
    <w:rsid w:val="00ED0B4E"/>
    <w:rsid w:val="00F051FC"/>
    <w:rsid w:val="00F31C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Ari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Enfasicorsivo">
    <w:name w:val="Emphasis"/>
    <w:qFormat/>
    <w:rPr>
      <w:i/>
      <w:iCs/>
    </w:rPr>
  </w:style>
  <w:style w:type="character" w:customStyle="1" w:styleId="IntestazioneCarattere">
    <w:name w:val="Intestazione Carattere"/>
    <w:rPr>
      <w:rFonts w:eastAsia="SimSun" w:cs="Mangal"/>
      <w:kern w:val="1"/>
      <w:sz w:val="24"/>
      <w:szCs w:val="21"/>
      <w:lang w:eastAsia="hi-IN" w:bidi="hi-IN"/>
    </w:rPr>
  </w:style>
  <w:style w:type="character" w:customStyle="1" w:styleId="PidipaginaCarattere">
    <w:name w:val="Piè di pagina Carattere"/>
    <w:rPr>
      <w:rFonts w:eastAsia="SimSun" w:cs="Mangal"/>
      <w:kern w:val="1"/>
      <w:sz w:val="24"/>
      <w:szCs w:val="21"/>
      <w:lang w:eastAsia="hi-IN" w:bidi="hi-IN"/>
    </w:rPr>
  </w:style>
  <w:style w:type="character" w:customStyle="1" w:styleId="ListLabel1">
    <w:name w:val="ListLabel 1"/>
    <w:rPr>
      <w:rFonts w:cs="Times New Roman"/>
      <w:i/>
    </w:rPr>
  </w:style>
  <w:style w:type="paragraph" w:customStyle="1" w:styleId="Intestazione2">
    <w:name w:val="Intestazione2"/>
    <w:basedOn w:val="Normale"/>
    <w:next w:val="Corpotesto"/>
    <w:pPr>
      <w:keepNext/>
      <w:spacing w:before="240" w:after="120"/>
    </w:pPr>
    <w:rPr>
      <w:rFonts w:ascii="Arial" w:eastAsia="Microsoft YaHei" w:hAnsi="Arial"/>
      <w:sz w:val="28"/>
      <w:szCs w:val="28"/>
    </w:rPr>
  </w:style>
  <w:style w:type="paragraph" w:styleId="Corpotesto">
    <w:name w:val="Corpo testo"/>
    <w:basedOn w:val="Normale"/>
    <w:pPr>
      <w:spacing w:after="120"/>
    </w:pPr>
  </w:style>
  <w:style w:type="paragraph" w:styleId="Elenco">
    <w:name w:val="List"/>
    <w:basedOn w:val="Corpotesto"/>
  </w:style>
  <w:style w:type="paragraph" w:customStyle="1" w:styleId="Didascalia2">
    <w:name w:val="Didascalia2"/>
    <w:basedOn w:val="Normale"/>
    <w:pPr>
      <w:suppressLineNumbers/>
      <w:spacing w:before="120" w:after="120"/>
    </w:pPr>
    <w:rPr>
      <w:i/>
      <w:iCs/>
    </w:rPr>
  </w:style>
  <w:style w:type="paragraph" w:customStyle="1" w:styleId="Indice">
    <w:name w:val="Indice"/>
    <w:basedOn w:val="Normale"/>
    <w:pPr>
      <w:suppressLineNumbers/>
    </w:pPr>
  </w:style>
  <w:style w:type="paragraph" w:customStyle="1" w:styleId="Intestazione1">
    <w:name w:val="Intestazione1"/>
    <w:basedOn w:val="Normale"/>
    <w:pPr>
      <w:keepNext/>
      <w:spacing w:before="240" w:after="120"/>
    </w:pPr>
    <w:rPr>
      <w:rFonts w:ascii="Arial" w:eastAsia="Microsoft YaHei" w:hAnsi="Arial"/>
      <w:sz w:val="28"/>
      <w:szCs w:val="28"/>
    </w:rPr>
  </w:style>
  <w:style w:type="paragraph" w:customStyle="1" w:styleId="Didascalia1">
    <w:name w:val="Didascalia1"/>
    <w:basedOn w:val="Normale"/>
    <w:pPr>
      <w:suppressLineNumbers/>
      <w:spacing w:before="120" w:after="120"/>
    </w:pPr>
    <w:rPr>
      <w:i/>
      <w:iCs/>
    </w:rPr>
  </w:style>
  <w:style w:type="paragraph" w:customStyle="1" w:styleId="Default">
    <w:name w:val="Default"/>
    <w:basedOn w:val="Normale"/>
    <w:rPr>
      <w:rFonts w:ascii="Arial" w:eastAsia="Arial" w:hAnsi="Arial"/>
      <w:color w:val="00000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pPr>
      <w:suppressLineNumbers/>
      <w:tabs>
        <w:tab w:val="center" w:pos="4819"/>
        <w:tab w:val="right" w:pos="9638"/>
      </w:tabs>
    </w:pPr>
    <w:rPr>
      <w:rFonts w:cs="Mangal"/>
      <w:szCs w:val="21"/>
    </w:rPr>
  </w:style>
  <w:style w:type="paragraph" w:styleId="Pidipagina">
    <w:name w:val="footer"/>
    <w:basedOn w:val="Normale"/>
    <w:pPr>
      <w:suppressLineNumbers/>
      <w:tabs>
        <w:tab w:val="center" w:pos="4819"/>
        <w:tab w:val="right" w:pos="9638"/>
      </w:tabs>
    </w:pPr>
    <w:rPr>
      <w:rFonts w:cs="Mangal"/>
      <w:szCs w:val="21"/>
    </w:rPr>
  </w:style>
  <w:style w:type="paragraph" w:styleId="Testofumetto">
    <w:name w:val="Balloon Text"/>
    <w:basedOn w:val="Normale"/>
    <w:link w:val="TestofumettoCarattere"/>
    <w:uiPriority w:val="99"/>
    <w:semiHidden/>
    <w:unhideWhenUsed/>
    <w:rsid w:val="00891660"/>
    <w:rPr>
      <w:rFonts w:ascii="Tahoma" w:hAnsi="Tahoma" w:cs="Mangal"/>
      <w:sz w:val="16"/>
      <w:szCs w:val="14"/>
    </w:rPr>
  </w:style>
  <w:style w:type="character" w:customStyle="1" w:styleId="TestofumettoCarattere">
    <w:name w:val="Testo fumetto Carattere"/>
    <w:link w:val="Testofumetto"/>
    <w:uiPriority w:val="99"/>
    <w:semiHidden/>
    <w:rsid w:val="00891660"/>
    <w:rPr>
      <w:rFonts w:ascii="Tahoma" w:eastAsia="SimSun" w:hAnsi="Tahoma" w:cs="Mangal"/>
      <w:kern w:val="1"/>
      <w:sz w:val="16"/>
      <w:szCs w:val="14"/>
      <w:lang w:eastAsia="hi-IN" w:bidi="hi-IN"/>
    </w:rPr>
  </w:style>
  <w:style w:type="character" w:customStyle="1" w:styleId="object">
    <w:name w:val="object"/>
    <w:rsid w:val="000456D2"/>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C0EBE-FAB1-456F-A5AC-D711A0E9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4158</Words>
  <Characters>23702</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Utente_locale</dc:creator>
  <cp:lastModifiedBy>Utente</cp:lastModifiedBy>
  <cp:revision>2</cp:revision>
  <cp:lastPrinted>2017-10-04T08:22:00Z</cp:lastPrinted>
  <dcterms:created xsi:type="dcterms:W3CDTF">2017-10-04T14:57:00Z</dcterms:created>
  <dcterms:modified xsi:type="dcterms:W3CDTF">2017-10-04T14:57:00Z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