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702" w:rsidRDefault="00387702" w:rsidP="00387702">
      <w:pPr>
        <w:pStyle w:val="sede"/>
        <w:shd w:val="clear" w:color="auto" w:fill="FFFFFF"/>
        <w:rPr>
          <w:rFonts w:ascii="Trebuchet MS" w:hAnsi="Trebuchet MS"/>
          <w:color w:val="000000"/>
          <w:sz w:val="20"/>
          <w:szCs w:val="20"/>
        </w:rPr>
      </w:pPr>
      <w:r>
        <w:rPr>
          <w:rStyle w:val="Enfasigrassetto"/>
          <w:rFonts w:ascii="Trebuchet MS" w:hAnsi="Trebuchet MS"/>
          <w:color w:val="000000"/>
          <w:sz w:val="20"/>
          <w:szCs w:val="20"/>
        </w:rPr>
        <w:t>ALLEGATO 1</w:t>
      </w:r>
    </w:p>
    <w:p w:rsidR="00387702" w:rsidRDefault="00387702" w:rsidP="00387702">
      <w:pPr>
        <w:pStyle w:val="titolo"/>
        <w:shd w:val="clear" w:color="auto" w:fill="FFFFFF"/>
        <w:rPr>
          <w:rFonts w:ascii="Trebuchet MS" w:hAnsi="Trebuchet MS"/>
          <w:color w:val="000000"/>
          <w:sz w:val="20"/>
          <w:szCs w:val="20"/>
        </w:rPr>
      </w:pPr>
      <w:r>
        <w:rPr>
          <w:rStyle w:val="Enfasigrassetto"/>
          <w:rFonts w:ascii="Trebuchet MS" w:hAnsi="Trebuchet MS"/>
          <w:color w:val="000000"/>
          <w:sz w:val="20"/>
          <w:szCs w:val="20"/>
        </w:rPr>
        <w:t>Schema di decreto legislativo recante disposizioni per l'attuazione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 (Atto n.</w:t>
      </w:r>
      <w:r>
        <w:rPr>
          <w:rStyle w:val="Enfasigrassetto"/>
          <w:rFonts w:ascii="Trebuchet MS" w:hAnsi="Trebuchet MS"/>
          <w:color w:val="000000"/>
          <w:sz w:val="20"/>
          <w:szCs w:val="20"/>
        </w:rPr>
        <w:t> </w:t>
      </w:r>
      <w:r>
        <w:rPr>
          <w:rStyle w:val="Enfasigrassetto"/>
          <w:rFonts w:ascii="Trebuchet MS" w:hAnsi="Trebuchet MS"/>
          <w:color w:val="000000"/>
          <w:sz w:val="20"/>
          <w:szCs w:val="20"/>
        </w:rPr>
        <w:t>283).</w:t>
      </w:r>
    </w:p>
    <w:p w:rsidR="00387702" w:rsidRDefault="00387702" w:rsidP="00387702">
      <w:pPr>
        <w:pStyle w:val="titolo"/>
        <w:shd w:val="clear" w:color="auto" w:fill="FFFFFF"/>
        <w:rPr>
          <w:rFonts w:ascii="Trebuchet MS" w:hAnsi="Trebuchet MS"/>
          <w:color w:val="000000"/>
          <w:sz w:val="20"/>
          <w:szCs w:val="20"/>
        </w:rPr>
      </w:pPr>
      <w:r>
        <w:rPr>
          <w:rStyle w:val="Enfasigrassetto"/>
          <w:rFonts w:ascii="Trebuchet MS" w:hAnsi="Trebuchet MS"/>
          <w:color w:val="000000"/>
          <w:sz w:val="20"/>
          <w:szCs w:val="20"/>
        </w:rPr>
        <w:t>PROPOSTA DI DELIBERAZIONE APPROVATA</w:t>
      </w:r>
    </w:p>
    <w:p w:rsidR="00387702" w:rsidRDefault="00387702" w:rsidP="00387702">
      <w:pPr>
        <w:pStyle w:val="NormaleWeb"/>
        <w:shd w:val="clear" w:color="auto" w:fill="FFFFFF"/>
        <w:rPr>
          <w:rFonts w:ascii="Trebuchet MS" w:hAnsi="Trebuchet MS"/>
          <w:color w:val="000000"/>
          <w:sz w:val="20"/>
          <w:szCs w:val="20"/>
        </w:rPr>
      </w:pP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La XI Commissione,</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esaminato, ai sensi dell'articolo 96-</w:t>
      </w:r>
      <w:r>
        <w:rPr>
          <w:rStyle w:val="Enfasicorsivo"/>
          <w:rFonts w:ascii="Trebuchet MS" w:hAnsi="Trebuchet MS"/>
          <w:color w:val="000000"/>
          <w:sz w:val="20"/>
          <w:szCs w:val="20"/>
        </w:rPr>
        <w:t>ter</w:t>
      </w:r>
      <w:r>
        <w:rPr>
          <w:rFonts w:ascii="Trebuchet MS" w:hAnsi="Trebuchet MS"/>
          <w:color w:val="000000"/>
          <w:sz w:val="20"/>
          <w:szCs w:val="20"/>
        </w:rPr>
        <w:t>, comma 4, del Regolamento, lo schema di decreto legislativo recante disposizioni per l'attuazione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 (Atto n.</w:t>
      </w:r>
      <w:r>
        <w:rPr>
          <w:rFonts w:ascii="Trebuchet MS" w:hAnsi="Trebuchet MS"/>
          <w:color w:val="000000"/>
          <w:sz w:val="20"/>
          <w:szCs w:val="20"/>
        </w:rPr>
        <w:t> </w:t>
      </w:r>
      <w:r>
        <w:rPr>
          <w:rFonts w:ascii="Trebuchet MS" w:hAnsi="Trebuchet MS"/>
          <w:color w:val="000000"/>
          <w:sz w:val="20"/>
          <w:szCs w:val="20"/>
        </w:rPr>
        <w:t>283);</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richiamati i principi e criteri direttivi della delega legislativa fissati dalla legge 28 gennaio 2016, n.</w:t>
      </w:r>
      <w:r>
        <w:rPr>
          <w:rFonts w:ascii="Trebuchet MS" w:hAnsi="Trebuchet MS"/>
          <w:color w:val="000000"/>
          <w:sz w:val="20"/>
          <w:szCs w:val="20"/>
        </w:rPr>
        <w:t> </w:t>
      </w:r>
      <w:r>
        <w:rPr>
          <w:rFonts w:ascii="Trebuchet MS" w:hAnsi="Trebuchet MS"/>
          <w:color w:val="000000"/>
          <w:sz w:val="20"/>
          <w:szCs w:val="20"/>
        </w:rPr>
        <w:t>11;</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evidenziato che l'articolo 1, comma 1, lettera</w:t>
      </w:r>
      <w:r>
        <w:rPr>
          <w:rStyle w:val="apple-converted-space"/>
          <w:rFonts w:ascii="Trebuchet MS" w:hAnsi="Trebuchet MS"/>
          <w:color w:val="000000"/>
          <w:sz w:val="20"/>
          <w:szCs w:val="20"/>
        </w:rPr>
        <w:t> </w:t>
      </w:r>
      <w:r>
        <w:rPr>
          <w:rStyle w:val="Enfasicorsivo"/>
          <w:rFonts w:ascii="Trebuchet MS" w:hAnsi="Trebuchet MS"/>
          <w:color w:val="000000"/>
          <w:sz w:val="20"/>
          <w:szCs w:val="20"/>
        </w:rPr>
        <w:t>gg)</w:t>
      </w:r>
      <w:r>
        <w:rPr>
          <w:rFonts w:ascii="Trebuchet MS" w:hAnsi="Trebuchet MS"/>
          <w:color w:val="000000"/>
          <w:sz w:val="20"/>
          <w:szCs w:val="20"/>
        </w:rPr>
        <w:t>, della legge delega prevede l'aggiudicazione dei contratti pubblici relativi ai servizi sociali e di ristorazione ospedaliera, assistenziale e scolastica, nonché a quelli di servizi ad alta intensità di manodopera, esclusivamente sulla base del criterio dell'offerta economicamente più vantaggiosa, escludendo in ogni caso l'applicazione del solo criterio di aggiudicazione del prezzo o del costo, inteso come criterio del prezzo più basso o del massimo ribasso d'asta;</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considerato che il criterio direttivo di cui all'articolo 1, comma 1, lettera</w:t>
      </w:r>
      <w:r>
        <w:rPr>
          <w:rStyle w:val="apple-converted-space"/>
          <w:rFonts w:ascii="Trebuchet MS" w:hAnsi="Trebuchet MS"/>
          <w:color w:val="000000"/>
          <w:sz w:val="20"/>
          <w:szCs w:val="20"/>
        </w:rPr>
        <w:t> </w:t>
      </w:r>
      <w:r>
        <w:rPr>
          <w:rStyle w:val="Enfasicorsivo"/>
          <w:rFonts w:ascii="Trebuchet MS" w:hAnsi="Trebuchet MS"/>
          <w:color w:val="000000"/>
          <w:sz w:val="20"/>
          <w:szCs w:val="20"/>
        </w:rPr>
        <w:t>ddd)</w:t>
      </w:r>
      <w:r>
        <w:rPr>
          <w:rFonts w:ascii="Trebuchet MS" w:hAnsi="Trebuchet MS"/>
          <w:color w:val="000000"/>
          <w:sz w:val="20"/>
          <w:szCs w:val="20"/>
        </w:rPr>
        <w:t>, della legge n.</w:t>
      </w:r>
      <w:r>
        <w:rPr>
          <w:rFonts w:ascii="Trebuchet MS" w:hAnsi="Trebuchet MS"/>
          <w:color w:val="000000"/>
          <w:sz w:val="20"/>
          <w:szCs w:val="20"/>
        </w:rPr>
        <w:t> </w:t>
      </w:r>
      <w:r>
        <w:rPr>
          <w:rFonts w:ascii="Trebuchet MS" w:hAnsi="Trebuchet MS"/>
          <w:color w:val="000000"/>
          <w:sz w:val="20"/>
          <w:szCs w:val="20"/>
        </w:rPr>
        <w:t>11 del 2016 richiede che il decreto legislativo assicuri la valorizzazione delle esigenze sociali e di sostenibilità ambientale, mediante l'introduzione di criteri e modalità premiali di valutazione delle offerte nei confronti delle imprese che, in caso di aggiudicazione, si impegnino, per l'esecuzione dell'appalto, a utilizzare, anche in parte, manodopera o personale a livello locale ovvero in via prioritaria gli addetti già impiegati nel medesimo appalto, in ottemperanza ai principi di economicità dell'appalto, la promozione della continuità dei livelli occupazionali, la semplificazione e l'implementazione dell'accesso delle micro, piccole e medie imprese, tenendo anche in considerazione gli aspetti della territorialità e della filiera corta e attribuendo un peso specifico anche alle ricadute occupazionali sottese alle procedure di accesso al mercato degli appalti pubblici, comunque nel rispetto del diritto dell'Unione europea;</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ricordato che, nell'ambito della legge delega, la lettera</w:t>
      </w:r>
      <w:r>
        <w:rPr>
          <w:rStyle w:val="apple-converted-space"/>
          <w:rFonts w:ascii="Trebuchet MS" w:hAnsi="Trebuchet MS"/>
          <w:color w:val="000000"/>
          <w:sz w:val="20"/>
          <w:szCs w:val="20"/>
        </w:rPr>
        <w:t> </w:t>
      </w:r>
      <w:r>
        <w:rPr>
          <w:rStyle w:val="Enfasicorsivo"/>
          <w:rFonts w:ascii="Trebuchet MS" w:hAnsi="Trebuchet MS"/>
          <w:color w:val="000000"/>
          <w:sz w:val="20"/>
          <w:szCs w:val="20"/>
        </w:rPr>
        <w:t>fff)</w:t>
      </w:r>
      <w:r>
        <w:rPr>
          <w:rStyle w:val="apple-converted-space"/>
          <w:rFonts w:ascii="Trebuchet MS" w:hAnsi="Trebuchet MS"/>
          <w:color w:val="000000"/>
          <w:sz w:val="20"/>
          <w:szCs w:val="20"/>
        </w:rPr>
        <w:t> </w:t>
      </w:r>
      <w:r>
        <w:rPr>
          <w:rFonts w:ascii="Trebuchet MS" w:hAnsi="Trebuchet MS"/>
          <w:color w:val="000000"/>
          <w:sz w:val="20"/>
          <w:szCs w:val="20"/>
        </w:rPr>
        <w:t>del comma 1 dell'articolo 1 reca un criterio direttivo che richiede la previsione di una disciplina specifica per gli appalti pubblici di servizi, diversi da quelli aventi natura intellettuale, con particolare riguardo a quelli ad alta intensità di manodopera, definiti come quelli nei quali il costo della manodopera</w:t>
      </w:r>
      <w:r>
        <w:rPr>
          <w:rStyle w:val="apple-converted-space"/>
          <w:rFonts w:ascii="Trebuchet MS" w:hAnsi="Trebuchet MS"/>
          <w:color w:val="000000"/>
          <w:sz w:val="20"/>
          <w:szCs w:val="20"/>
        </w:rPr>
        <w:t> </w:t>
      </w:r>
      <w:r>
        <w:rPr>
          <w:rStyle w:val="numeropagina"/>
          <w:rFonts w:ascii="Trebuchet MS" w:hAnsi="Trebuchet MS"/>
          <w:color w:val="333333"/>
          <w:sz w:val="20"/>
          <w:szCs w:val="20"/>
        </w:rPr>
        <w:t>Pag. 84</w:t>
      </w:r>
      <w:r>
        <w:rPr>
          <w:rFonts w:ascii="Trebuchet MS" w:hAnsi="Trebuchet MS"/>
          <w:color w:val="000000"/>
          <w:sz w:val="20"/>
          <w:szCs w:val="20"/>
        </w:rPr>
        <w:t>è pari almeno al 50 per cento dell'importo totale del contratto, prevedendo l'introduzione di «clausole sociali» volte a promuovere la stabilità occupazionale del personale impiegato, prendendo a riferimento, per ciascun comparto merceologico o di attività, il contratto collettivo nazionale di lavoro che presenta le migliori condizioni per i lavoratori ed escludendo espressamente il ricorso al solo criterio di aggiudicazione del prezzo o del costo, inteso come criterio del prezzo più basso o del massimo ribasso d'asta, comunque nel rispetto del diritto dell'Unione europea;</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rilevato che l'articolo 1, comma 1, lettera</w:t>
      </w:r>
      <w:r>
        <w:rPr>
          <w:rStyle w:val="apple-converted-space"/>
          <w:rFonts w:ascii="Trebuchet MS" w:hAnsi="Trebuchet MS"/>
          <w:color w:val="000000"/>
          <w:sz w:val="20"/>
          <w:szCs w:val="20"/>
        </w:rPr>
        <w:t> </w:t>
      </w:r>
      <w:r>
        <w:rPr>
          <w:rStyle w:val="Enfasicorsivo"/>
          <w:rFonts w:ascii="Trebuchet MS" w:hAnsi="Trebuchet MS"/>
          <w:color w:val="000000"/>
          <w:sz w:val="20"/>
          <w:szCs w:val="20"/>
        </w:rPr>
        <w:t>ggg)</w:t>
      </w:r>
      <w:r>
        <w:rPr>
          <w:rFonts w:ascii="Trebuchet MS" w:hAnsi="Trebuchet MS"/>
          <w:color w:val="000000"/>
          <w:sz w:val="20"/>
          <w:szCs w:val="20"/>
        </w:rPr>
        <w:t>, della legge delega richiede la previsione di una disciplina specifica per gli appalti pubblici di lavori e servizi che introduca clausole sociali volte a promuovere la stabilità occupazionale del personale impiegato e stabilisca che i contratti collettivi nazionale e territoriale in vigore per il settore e per la zona nella quale si eseguono le prestazioni devono intendersi quelli stipulati dalle associazioni dei datori e dei prestatori di lavoro comparativamente più rappresentative sul piano nazionale e quelli il cui ambito di applicazione sia strettamente connesso con l'attività oggetto dell'appalto e svolta dall'impresa, anche in maniera prevalente;</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richiamato il proprio parere, espresso il 7 ottobre 2015, sul nuovo testo del disegno di legge Atto Camera n.</w:t>
      </w:r>
      <w:r>
        <w:rPr>
          <w:rFonts w:ascii="Trebuchet MS" w:hAnsi="Trebuchet MS"/>
          <w:color w:val="000000"/>
          <w:sz w:val="20"/>
          <w:szCs w:val="20"/>
        </w:rPr>
        <w:t> </w:t>
      </w:r>
      <w:r>
        <w:rPr>
          <w:rFonts w:ascii="Trebuchet MS" w:hAnsi="Trebuchet MS"/>
          <w:color w:val="000000"/>
          <w:sz w:val="20"/>
          <w:szCs w:val="20"/>
        </w:rPr>
        <w:t>3194, approvato dal Senato della Repubblica, recante delega al Governo per l'attuazione delle direttive 2014/23/UE, 2014/24/UE e 2014/25/UE del Parlamento europeo e del Consiglio, del 26 febbraio 2014,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xml:space="preserve">considerato che, in tale parere, a fronte dell'obbligo per i soggetti pubblici e privati, titolari di concessioni di lavori o di servizi pubblici, di affidare una quota pari all'80 per cento dei contratti di lavori, servizi e forniture relativi alle concessioni di importo superiore a 150.000 euro mediante procedura ad evidenza pubblica, anche di tipo semplificato, stabilendo che la restante parte possa essere realizzata da </w:t>
      </w:r>
      <w:r>
        <w:rPr>
          <w:rFonts w:ascii="Trebuchet MS" w:hAnsi="Trebuchet MS"/>
          <w:color w:val="000000"/>
          <w:sz w:val="20"/>
          <w:szCs w:val="20"/>
        </w:rPr>
        <w:lastRenderedPageBreak/>
        <w:t>società</w:t>
      </w:r>
      <w:r>
        <w:rPr>
          <w:rStyle w:val="apple-converted-space"/>
          <w:rFonts w:ascii="Trebuchet MS" w:hAnsi="Trebuchet MS"/>
          <w:color w:val="000000"/>
          <w:sz w:val="20"/>
          <w:szCs w:val="20"/>
        </w:rPr>
        <w:t> </w:t>
      </w:r>
      <w:r>
        <w:rPr>
          <w:rStyle w:val="Enfasicorsivo"/>
          <w:rFonts w:ascii="Trebuchet MS" w:hAnsi="Trebuchet MS"/>
          <w:color w:val="000000"/>
          <w:sz w:val="20"/>
          <w:szCs w:val="20"/>
        </w:rPr>
        <w:t>in house</w:t>
      </w:r>
      <w:r>
        <w:rPr>
          <w:rFonts w:ascii="Trebuchet MS" w:hAnsi="Trebuchet MS"/>
          <w:color w:val="000000"/>
          <w:sz w:val="20"/>
          <w:szCs w:val="20"/>
        </w:rPr>
        <w:t>, si era segnalata l'esigenza di rafforzare le garanzie per i lavori attualmente occupati in tali contratti, anche attraverso l'introduzione di «clausole sociali»;</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osservato che l'articolo 3, comma 1, lettera</w:t>
      </w:r>
      <w:r>
        <w:rPr>
          <w:rStyle w:val="apple-converted-space"/>
          <w:rFonts w:ascii="Trebuchet MS" w:hAnsi="Trebuchet MS"/>
          <w:color w:val="000000"/>
          <w:sz w:val="20"/>
          <w:szCs w:val="20"/>
        </w:rPr>
        <w:t> </w:t>
      </w:r>
      <w:r>
        <w:rPr>
          <w:rStyle w:val="Enfasicorsivo"/>
          <w:rFonts w:ascii="Trebuchet MS" w:hAnsi="Trebuchet MS"/>
          <w:color w:val="000000"/>
          <w:sz w:val="20"/>
          <w:szCs w:val="20"/>
        </w:rPr>
        <w:t>qqq)</w:t>
      </w:r>
      <w:r>
        <w:rPr>
          <w:rFonts w:ascii="Trebuchet MS" w:hAnsi="Trebuchet MS"/>
          <w:color w:val="000000"/>
          <w:sz w:val="20"/>
          <w:szCs w:val="20"/>
        </w:rPr>
        <w:t>, dello schema in esame, nell'ambito delle definizioni, qualifica come «clausole sociali», le disposizioni che impongono a un datore di lavoro il rispetto di determinati</w:t>
      </w:r>
      <w:r>
        <w:rPr>
          <w:rStyle w:val="apple-converted-space"/>
          <w:rFonts w:ascii="Trebuchet MS" w:hAnsi="Trebuchet MS"/>
          <w:color w:val="000000"/>
          <w:sz w:val="20"/>
          <w:szCs w:val="20"/>
        </w:rPr>
        <w:t> </w:t>
      </w:r>
      <w:r>
        <w:rPr>
          <w:rStyle w:val="Enfasicorsivo"/>
          <w:rFonts w:ascii="Trebuchet MS" w:hAnsi="Trebuchet MS"/>
          <w:color w:val="000000"/>
          <w:sz w:val="20"/>
          <w:szCs w:val="20"/>
        </w:rPr>
        <w:t>standard</w:t>
      </w:r>
      <w:r>
        <w:rPr>
          <w:rStyle w:val="apple-converted-space"/>
          <w:rFonts w:ascii="Trebuchet MS" w:hAnsi="Trebuchet MS"/>
          <w:i/>
          <w:iCs/>
          <w:color w:val="000000"/>
          <w:sz w:val="20"/>
          <w:szCs w:val="20"/>
        </w:rPr>
        <w:t> </w:t>
      </w:r>
      <w:r>
        <w:rPr>
          <w:rFonts w:ascii="Trebuchet MS" w:hAnsi="Trebuchet MS"/>
          <w:color w:val="000000"/>
          <w:sz w:val="20"/>
          <w:szCs w:val="20"/>
        </w:rPr>
        <w:t>di protezione sociale e del lavoro come condizione per svolgere attività economiche in appalto o in concessione o per accedere a benefici di legge e ad agevolazioni finanziarie;</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rilevato che l'articolo 30 del provvedimento, nell'individuare i principi per l'aggiudicazione e l'esecuzione di appalti e concessioni, prevede, al comma 4, che al personale impiegato nei lavori oggetto di appalti pubblici e concessioni sia applicato il contratto collettivo nazionale e territoriale in vigore per il settore e per la zona nella quale si eseguono le prestazioni di lavoro, stipulato dalle associazioni dei datori e dei prestatori di lavoro comparativamente più rappresentative sul piano nazionale e quelli il cui ambito di applicazione sia strettamente connesso con l'attività oggetto dell'appalto o della concessione svolta dall'impresa, anche in maniera prevalente;</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osservato che la formulazione di tale disposizione, pur essendo aderente al criterio di delega contenuto nella legge n.</w:t>
      </w:r>
      <w:r>
        <w:rPr>
          <w:rFonts w:ascii="Trebuchet MS" w:hAnsi="Trebuchet MS"/>
          <w:color w:val="000000"/>
          <w:sz w:val="20"/>
          <w:szCs w:val="20"/>
        </w:rPr>
        <w:t> </w:t>
      </w:r>
      <w:r>
        <w:rPr>
          <w:rFonts w:ascii="Trebuchet MS" w:hAnsi="Trebuchet MS"/>
          <w:color w:val="000000"/>
          <w:sz w:val="20"/>
          <w:szCs w:val="20"/>
        </w:rPr>
        <w:t>11 del 2016, sembrerebbe consentire l'applicazione di contratti collettivi connessi con l'attività oggetto dell'appalto diversi da quelli stipulati dalle organizzazioni sindacali comparativamente più rappresentative sul piano nazionale;</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considerato che l'articolo 95, comma 3, lettera</w:t>
      </w:r>
      <w:r>
        <w:rPr>
          <w:rStyle w:val="apple-converted-space"/>
          <w:rFonts w:ascii="Trebuchet MS" w:hAnsi="Trebuchet MS"/>
          <w:color w:val="000000"/>
          <w:sz w:val="20"/>
          <w:szCs w:val="20"/>
        </w:rPr>
        <w:t> </w:t>
      </w:r>
      <w:r>
        <w:rPr>
          <w:rStyle w:val="Enfasicorsivo"/>
          <w:rFonts w:ascii="Trebuchet MS" w:hAnsi="Trebuchet MS"/>
          <w:color w:val="000000"/>
          <w:sz w:val="20"/>
          <w:szCs w:val="20"/>
        </w:rPr>
        <w:t>a)</w:t>
      </w:r>
      <w:r>
        <w:rPr>
          <w:rFonts w:ascii="Trebuchet MS" w:hAnsi="Trebuchet MS"/>
          <w:color w:val="000000"/>
          <w:sz w:val="20"/>
          <w:szCs w:val="20"/>
        </w:rPr>
        <w:t>, del provvedimento prevede</w:t>
      </w:r>
      <w:r>
        <w:rPr>
          <w:rStyle w:val="apple-converted-space"/>
          <w:rFonts w:ascii="Trebuchet MS" w:hAnsi="Trebuchet MS"/>
          <w:color w:val="000000"/>
          <w:sz w:val="20"/>
          <w:szCs w:val="20"/>
        </w:rPr>
        <w:t> </w:t>
      </w:r>
      <w:r>
        <w:rPr>
          <w:rStyle w:val="numeropagina"/>
          <w:rFonts w:ascii="Trebuchet MS" w:hAnsi="Trebuchet MS"/>
          <w:color w:val="333333"/>
          <w:sz w:val="20"/>
          <w:szCs w:val="20"/>
        </w:rPr>
        <w:t>Pag. 85</w:t>
      </w:r>
      <w:r>
        <w:rPr>
          <w:rFonts w:ascii="Trebuchet MS" w:hAnsi="Trebuchet MS"/>
          <w:color w:val="000000"/>
          <w:sz w:val="20"/>
          <w:szCs w:val="20"/>
        </w:rPr>
        <w:t>che siano aggiudicati esclusivamente sulla base del criterio dell'offerta economicamente più vantaggiosa, individuata sulla base del miglior rapporto qualità/prezzo, i contratti relativi ai servizi sociali e di ristorazione ospedaliera, assistenziale e scolastica, nonché ai servizi ad alta intensità di manodopera, come definiti all'articolo 50, comma 2;</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evidenziato che l'articolo 95, comma 13, del provvedimento stabilisce che, compatibilmente con il diritto dell'Unione europea e con i principi di parità di trattamento, non discriminazione, trasparenza, proporzionalità, le amministrazioni aggiudicatrici indichino preliminarmente i criteri premiali che intendono applicare per la valutazione delle offerte in relazione al maggior</w:t>
      </w:r>
      <w:r>
        <w:rPr>
          <w:rStyle w:val="apple-converted-space"/>
          <w:rFonts w:ascii="Trebuchet MS" w:hAnsi="Trebuchet MS"/>
          <w:color w:val="000000"/>
          <w:sz w:val="20"/>
          <w:szCs w:val="20"/>
        </w:rPr>
        <w:t> </w:t>
      </w:r>
      <w:r>
        <w:rPr>
          <w:rStyle w:val="Enfasicorsivo"/>
          <w:rFonts w:ascii="Trebuchet MS" w:hAnsi="Trebuchet MS"/>
          <w:color w:val="000000"/>
          <w:sz w:val="20"/>
          <w:szCs w:val="20"/>
        </w:rPr>
        <w:t>rating</w:t>
      </w:r>
      <w:r>
        <w:rPr>
          <w:rStyle w:val="apple-converted-space"/>
          <w:rFonts w:ascii="Trebuchet MS" w:hAnsi="Trebuchet MS"/>
          <w:i/>
          <w:iCs/>
          <w:color w:val="000000"/>
          <w:sz w:val="20"/>
          <w:szCs w:val="20"/>
        </w:rPr>
        <w:t> </w:t>
      </w:r>
      <w:r>
        <w:rPr>
          <w:rFonts w:ascii="Trebuchet MS" w:hAnsi="Trebuchet MS"/>
          <w:color w:val="000000"/>
          <w:sz w:val="20"/>
          <w:szCs w:val="20"/>
        </w:rPr>
        <w:t>di legalità dell'offerente, nonché in relazione a beni, lavori e servizi che presentano un minore impatto sulla sicurezza e sulla salute dei lavoratori e sull'ambiente e per agevolare la partecipazione alle procedure di affidamento per le microimprese, le piccole e le medie imprese, per i giovani professionisti e per le imprese di nuova costituzione;</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rilevato che la l'articolo 105 non pone limiti alla possibilità di subappalto, diversamente dall'articolo 118, comma 2, del Codice dei contratti pubblici relativi a lavori, servizi e forniture, di cui al decreto legislativo 12 aprile 2006, n.</w:t>
      </w:r>
      <w:r>
        <w:rPr>
          <w:rFonts w:ascii="Trebuchet MS" w:hAnsi="Trebuchet MS"/>
          <w:color w:val="000000"/>
          <w:sz w:val="20"/>
          <w:szCs w:val="20"/>
        </w:rPr>
        <w:t> </w:t>
      </w:r>
      <w:r>
        <w:rPr>
          <w:rFonts w:ascii="Trebuchet MS" w:hAnsi="Trebuchet MS"/>
          <w:color w:val="000000"/>
          <w:sz w:val="20"/>
          <w:szCs w:val="20"/>
        </w:rPr>
        <w:t>163, che stabiliva, per la categoria prevalente, un limite massimo pari al trenta per cento, essendo tale limite ora previsto solo per le categorie superspecialistiche;</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osservato che l'articolo 105, comma 13, nel caso di lavori, servizi e forniture, prevede il pagamento diretto al subappaltatore, al cottimista o al fornitore di beni o lavori qualora si tratti di una microimpresa o di una piccola impresa ovvero in caso di inadempimento da parte dell'appaltatore o su richiesta del subappaltatore e se la natura del contratto lo consente;</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considerato che l'articolo 174, comma 7, nel disciplinare l'esecuzione delle concessioni, stabilisce che, nei casi di pagamento diretto ai subappaltatori previsti dalla medesima disposizione e sostanzialmente analoghi a quelli indicati dall'articolo 105, comma 13, il concessionario sia liberato dall'obbligazione solidale nei confronti dei dipendenti dell'impresa subappaltatrice in relazione agli obblighi retributivi e contributivi previsti a legislazione vigente;</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osservato che l'articolo 177, comma 1, dispone che i soggetti pubblici o privati, titolari di concessioni di lavori, di servizi pubblici o di forniture già in essere alla data di entrata in vigore del decreto in esame, non affidate con la formula della finanza di progetto ovvero con procedure di gara ad evidenza pubblica secondo il diritto dell'Unione europea, sono obbligati ad affidare una quota pari all'ottanta per cento dei contratti di lavori, servizi e forniture relativi alle concessioni di importo superiore a 150.000 euro mediante procedura ad evidenza pubblica, introducendo clausole sociali per la stabilità del personale impiegato e per la salvaguardia delle professionalità;</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osservato che permane l'esigenza, già segnalata nel parere espresso il 7 ottobre 2015 sul nuovo testo del disegno di legge Atto Camera n.</w:t>
      </w:r>
      <w:r>
        <w:rPr>
          <w:rFonts w:ascii="Trebuchet MS" w:hAnsi="Trebuchet MS"/>
          <w:color w:val="000000"/>
          <w:sz w:val="20"/>
          <w:szCs w:val="20"/>
        </w:rPr>
        <w:t> </w:t>
      </w:r>
      <w:r>
        <w:rPr>
          <w:rFonts w:ascii="Trebuchet MS" w:hAnsi="Trebuchet MS"/>
          <w:color w:val="000000"/>
          <w:sz w:val="20"/>
          <w:szCs w:val="20"/>
        </w:rPr>
        <w:t>3194, di rafforzare le garanzie per i lavoratori occupati nei lavori, servizi e forniture relativi alle concessioni, a fronte dell'obbligo per i soggetti titolari di tali concessioni di affidarne una quota pari all'80 per cento mediante procedura ad evidenza pubblica, in quanto la tutela della stabilità del lavoro, nonché dell'esperienza e della qualificazione dei lavoratori è particolarmente importante per attività che presentano condizioni di sicurezza critiche ed è parte integrante della qualità delle prestazioni sia nella manutenzione che nella progettazione;</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xml:space="preserve">ritenuto che tali obiettivi possano essere perseguiti attraverso lo svolgimento in via diretta dei lavori di manutenzione e dei servizi di ingegneria da parte dei concessionari, precisando, all'articolo 177, comma 1, che l'obbligo dell'affidamento dell'80 per cento dei lavori, dei servizi e delle forniture mediante </w:t>
      </w:r>
      <w:r>
        <w:rPr>
          <w:rFonts w:ascii="Trebuchet MS" w:hAnsi="Trebuchet MS"/>
          <w:color w:val="000000"/>
          <w:sz w:val="20"/>
          <w:szCs w:val="20"/>
        </w:rPr>
        <w:lastRenderedPageBreak/>
        <w:t>procedura ad</w:t>
      </w:r>
      <w:r>
        <w:rPr>
          <w:rStyle w:val="numeropagina"/>
          <w:rFonts w:ascii="Trebuchet MS" w:hAnsi="Trebuchet MS"/>
          <w:color w:val="333333"/>
          <w:sz w:val="20"/>
          <w:szCs w:val="20"/>
        </w:rPr>
        <w:t>Pag. 86</w:t>
      </w:r>
      <w:r>
        <w:rPr>
          <w:rFonts w:ascii="Trebuchet MS" w:hAnsi="Trebuchet MS"/>
          <w:color w:val="000000"/>
          <w:sz w:val="20"/>
          <w:szCs w:val="20"/>
        </w:rPr>
        <w:t>evidenza pubblica si riferisce alla parte di lavori e servizi non gestiti direttamente dai concessionari,</w:t>
      </w:r>
    </w:p>
    <w:p w:rsidR="00387702" w:rsidRDefault="00387702" w:rsidP="00387702">
      <w:pPr>
        <w:pStyle w:val="center"/>
        <w:shd w:val="clear" w:color="auto" w:fill="FFFFFF"/>
        <w:jc w:val="center"/>
        <w:rPr>
          <w:rFonts w:ascii="Trebuchet MS" w:hAnsi="Trebuchet MS"/>
          <w:color w:val="000000"/>
          <w:sz w:val="20"/>
          <w:szCs w:val="20"/>
        </w:rPr>
      </w:pPr>
      <w:r>
        <w:rPr>
          <w:rFonts w:ascii="Trebuchet MS" w:hAnsi="Trebuchet MS"/>
          <w:color w:val="000000"/>
          <w:sz w:val="20"/>
          <w:szCs w:val="20"/>
        </w:rPr>
        <w:t>VALUTA FAVOREVOLMENTE</w:t>
      </w:r>
    </w:p>
    <w:p w:rsidR="00387702" w:rsidRDefault="00387702" w:rsidP="00387702">
      <w:pPr>
        <w:pStyle w:val="NormaleWeb"/>
        <w:shd w:val="clear" w:color="auto" w:fill="FFFFFF"/>
        <w:rPr>
          <w:rFonts w:ascii="Trebuchet MS" w:hAnsi="Trebuchet MS"/>
          <w:color w:val="000000"/>
          <w:sz w:val="20"/>
          <w:szCs w:val="20"/>
        </w:rPr>
      </w:pPr>
      <w:r>
        <w:rPr>
          <w:rFonts w:ascii="Trebuchet MS" w:hAnsi="Trebuchet MS"/>
          <w:color w:val="000000"/>
          <w:sz w:val="20"/>
          <w:szCs w:val="20"/>
        </w:rPr>
        <w:t> </w:t>
      </w:r>
      <w:r>
        <w:rPr>
          <w:rFonts w:ascii="Trebuchet MS" w:hAnsi="Trebuchet MS"/>
          <w:color w:val="000000"/>
          <w:sz w:val="20"/>
          <w:szCs w:val="20"/>
        </w:rPr>
        <w:t> </w:t>
      </w:r>
      <w:r>
        <w:rPr>
          <w:rStyle w:val="Enfasicorsivo"/>
          <w:rFonts w:ascii="Trebuchet MS" w:hAnsi="Trebuchet MS"/>
          <w:color w:val="000000"/>
          <w:sz w:val="20"/>
          <w:szCs w:val="20"/>
        </w:rPr>
        <w:t>lo schema di decreto legislativo e formula i seguenti rilievi:</w:t>
      </w:r>
      <w:r>
        <w:rPr>
          <w:rStyle w:val="apple-converted-space"/>
          <w:rFonts w:ascii="Trebuchet MS" w:hAnsi="Trebuchet MS"/>
          <w:color w:val="000000"/>
          <w:sz w:val="20"/>
          <w:szCs w:val="20"/>
        </w:rPr>
        <w:t> </w:t>
      </w:r>
      <w:r>
        <w:rPr>
          <w:rFonts w:ascii="Trebuchet MS" w:hAnsi="Trebuchet MS"/>
          <w:color w:val="000000"/>
          <w:sz w:val="20"/>
          <w:szCs w:val="20"/>
        </w:rPr>
        <w:br/>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a)</w:t>
      </w:r>
      <w:r>
        <w:rPr>
          <w:rStyle w:val="apple-converted-space"/>
          <w:rFonts w:ascii="Trebuchet MS" w:hAnsi="Trebuchet MS"/>
          <w:color w:val="000000"/>
          <w:sz w:val="20"/>
          <w:szCs w:val="20"/>
        </w:rPr>
        <w:t> </w:t>
      </w:r>
      <w:r>
        <w:rPr>
          <w:rFonts w:ascii="Trebuchet MS" w:hAnsi="Trebuchet MS"/>
          <w:color w:val="000000"/>
          <w:sz w:val="20"/>
          <w:szCs w:val="20"/>
        </w:rPr>
        <w:t>all'articolo 3, comma 1, lettera</w:t>
      </w:r>
      <w:r>
        <w:rPr>
          <w:rStyle w:val="apple-converted-space"/>
          <w:rFonts w:ascii="Trebuchet MS" w:hAnsi="Trebuchet MS"/>
          <w:color w:val="000000"/>
          <w:sz w:val="20"/>
          <w:szCs w:val="20"/>
        </w:rPr>
        <w:t> </w:t>
      </w:r>
      <w:r>
        <w:rPr>
          <w:rStyle w:val="Enfasicorsivo"/>
          <w:rFonts w:ascii="Trebuchet MS" w:hAnsi="Trebuchet MS"/>
          <w:color w:val="000000"/>
          <w:sz w:val="20"/>
          <w:szCs w:val="20"/>
        </w:rPr>
        <w:t>qqq)</w:t>
      </w:r>
      <w:r>
        <w:rPr>
          <w:rFonts w:ascii="Trebuchet MS" w:hAnsi="Trebuchet MS"/>
          <w:color w:val="000000"/>
          <w:sz w:val="20"/>
          <w:szCs w:val="20"/>
        </w:rPr>
        <w:t>, dopo le parole: «protezione sociale e del lavoro», si valuti l'opportunità di aggiungere le seguenti: «, al fine di promuovere la stabilità occupazionale del personale impiegato e la salvaguardia delle professionalità», in modo da allineare la definizione ivi contenuta con le norme di cui all'articolo 50, commi 1 e 2, e all'articolo 177, comma 1;</w:t>
      </w:r>
      <w:r>
        <w:rPr>
          <w:rStyle w:val="apple-converted-space"/>
          <w:rFonts w:ascii="Trebuchet MS" w:hAnsi="Trebuchet MS"/>
          <w:color w:val="000000"/>
          <w:sz w:val="20"/>
          <w:szCs w:val="20"/>
        </w:rPr>
        <w:t> </w:t>
      </w:r>
      <w:r>
        <w:rPr>
          <w:rFonts w:ascii="Trebuchet MS" w:hAnsi="Trebuchet MS"/>
          <w:color w:val="000000"/>
          <w:sz w:val="20"/>
          <w:szCs w:val="20"/>
        </w:rPr>
        <w:br/>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b)</w:t>
      </w:r>
      <w:r>
        <w:rPr>
          <w:rStyle w:val="apple-converted-space"/>
          <w:rFonts w:ascii="Trebuchet MS" w:hAnsi="Trebuchet MS"/>
          <w:color w:val="000000"/>
          <w:sz w:val="20"/>
          <w:szCs w:val="20"/>
        </w:rPr>
        <w:t> </w:t>
      </w:r>
      <w:r>
        <w:rPr>
          <w:rFonts w:ascii="Trebuchet MS" w:hAnsi="Trebuchet MS"/>
          <w:color w:val="000000"/>
          <w:sz w:val="20"/>
          <w:szCs w:val="20"/>
        </w:rPr>
        <w:t>all'articolo 30, comma 3, dopo le parole: «contratti collettivi», si valuti l'opportunità di aggiungere le seguenti: «di cui al comma 4»;</w:t>
      </w:r>
      <w:r>
        <w:rPr>
          <w:rStyle w:val="apple-converted-space"/>
          <w:rFonts w:ascii="Trebuchet MS" w:hAnsi="Trebuchet MS"/>
          <w:color w:val="000000"/>
          <w:sz w:val="20"/>
          <w:szCs w:val="20"/>
        </w:rPr>
        <w:t> </w:t>
      </w:r>
      <w:r>
        <w:rPr>
          <w:rFonts w:ascii="Trebuchet MS" w:hAnsi="Trebuchet MS"/>
          <w:color w:val="000000"/>
          <w:sz w:val="20"/>
          <w:szCs w:val="20"/>
        </w:rPr>
        <w:br/>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c)</w:t>
      </w:r>
      <w:r>
        <w:rPr>
          <w:rStyle w:val="apple-converted-space"/>
          <w:rFonts w:ascii="Trebuchet MS" w:hAnsi="Trebuchet MS"/>
          <w:color w:val="000000"/>
          <w:sz w:val="20"/>
          <w:szCs w:val="20"/>
        </w:rPr>
        <w:t> </w:t>
      </w:r>
      <w:r>
        <w:rPr>
          <w:rFonts w:ascii="Trebuchet MS" w:hAnsi="Trebuchet MS"/>
          <w:color w:val="000000"/>
          <w:sz w:val="20"/>
          <w:szCs w:val="20"/>
        </w:rPr>
        <w:t>all'articolo 30, comma 4, si valuti l'opportunità di:</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1) sostituire le parole: «nei lavori oggetto» con le seguenti: «nell'esecuzione»;</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2) sopprimere le parole: «e quelli» e richiamare, per quanto attiene ai contratti collettivi aziendali, quelli stipulati dalle rappresentanze sindacali aziendali delle associazioni sindacali comparativamente più rappresentative sul piano nazionale ovvero dalla rappresentanza sindacale unitaria, in linea con quanto previsto, con norma di portata generale, dall'articolo 51 del decreto legislativo 15 giugno 2015, n.</w:t>
      </w:r>
      <w:r>
        <w:rPr>
          <w:rFonts w:ascii="Trebuchet MS" w:hAnsi="Trebuchet MS"/>
          <w:color w:val="000000"/>
          <w:sz w:val="20"/>
          <w:szCs w:val="20"/>
        </w:rPr>
        <w:t> </w:t>
      </w:r>
      <w:r>
        <w:rPr>
          <w:rFonts w:ascii="Trebuchet MS" w:hAnsi="Trebuchet MS"/>
          <w:color w:val="000000"/>
          <w:sz w:val="20"/>
          <w:szCs w:val="20"/>
        </w:rPr>
        <w:t>81, al quale fa, peraltro, rinvio l'articolo 50, comma 2, del provvedimento;</w:t>
      </w:r>
      <w:r>
        <w:rPr>
          <w:rStyle w:val="apple-converted-space"/>
          <w:rFonts w:ascii="Trebuchet MS" w:hAnsi="Trebuchet MS"/>
          <w:color w:val="000000"/>
          <w:sz w:val="20"/>
          <w:szCs w:val="20"/>
        </w:rPr>
        <w:t> </w:t>
      </w:r>
      <w:r>
        <w:rPr>
          <w:rFonts w:ascii="Trebuchet MS" w:hAnsi="Trebuchet MS"/>
          <w:color w:val="000000"/>
          <w:sz w:val="20"/>
          <w:szCs w:val="20"/>
        </w:rPr>
        <w:br/>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d)</w:t>
      </w:r>
      <w:r>
        <w:rPr>
          <w:rStyle w:val="apple-converted-space"/>
          <w:rFonts w:ascii="Trebuchet MS" w:hAnsi="Trebuchet MS"/>
          <w:color w:val="000000"/>
          <w:sz w:val="20"/>
          <w:szCs w:val="20"/>
        </w:rPr>
        <w:t> </w:t>
      </w:r>
      <w:r>
        <w:rPr>
          <w:rFonts w:ascii="Trebuchet MS" w:hAnsi="Trebuchet MS"/>
          <w:color w:val="000000"/>
          <w:sz w:val="20"/>
          <w:szCs w:val="20"/>
        </w:rPr>
        <w:t>all'articolo 50, si valuti l'opportunità di un miglior coordinamento tra le disposizioni del comma 1 e del comma 2, al fine di chiarire in modo univoco l'obbligatorietà dell'inserimento di clausole sociali nei contratti di concessione di appalti di lavori e servizi, diversi da quelli aventi natura intellettuale, con particolare riferimento a quelli ad alta intensità di manodopera;</w:t>
      </w:r>
      <w:r>
        <w:rPr>
          <w:rStyle w:val="apple-converted-space"/>
          <w:rFonts w:ascii="Trebuchet MS" w:hAnsi="Trebuchet MS"/>
          <w:color w:val="000000"/>
          <w:sz w:val="20"/>
          <w:szCs w:val="20"/>
        </w:rPr>
        <w:t> </w:t>
      </w:r>
      <w:r>
        <w:rPr>
          <w:rFonts w:ascii="Trebuchet MS" w:hAnsi="Trebuchet MS"/>
          <w:color w:val="000000"/>
          <w:sz w:val="20"/>
          <w:szCs w:val="20"/>
        </w:rPr>
        <w:br/>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e)</w:t>
      </w:r>
      <w:r>
        <w:rPr>
          <w:rStyle w:val="apple-converted-space"/>
          <w:rFonts w:ascii="Trebuchet MS" w:hAnsi="Trebuchet MS"/>
          <w:color w:val="000000"/>
          <w:sz w:val="20"/>
          <w:szCs w:val="20"/>
        </w:rPr>
        <w:t> </w:t>
      </w:r>
      <w:r>
        <w:rPr>
          <w:rFonts w:ascii="Trebuchet MS" w:hAnsi="Trebuchet MS"/>
          <w:color w:val="000000"/>
          <w:sz w:val="20"/>
          <w:szCs w:val="20"/>
        </w:rPr>
        <w:t>all'articolo 50, comma 2, si valuti la possibilità, qualora sussistano più contratti collettivi nazionali di lavoro applicabili, di assumere come riferimento quello che presenta le migliori condizioni per i lavoratori, in linea con quanto previsto dal criterio direttivo di cui all'articolo 1, comma 1, lettera</w:t>
      </w:r>
      <w:r>
        <w:rPr>
          <w:rStyle w:val="apple-converted-space"/>
          <w:rFonts w:ascii="Trebuchet MS" w:hAnsi="Trebuchet MS"/>
          <w:color w:val="000000"/>
          <w:sz w:val="20"/>
          <w:szCs w:val="20"/>
        </w:rPr>
        <w:t> </w:t>
      </w:r>
      <w:r>
        <w:rPr>
          <w:rStyle w:val="Enfasicorsivo"/>
          <w:rFonts w:ascii="Trebuchet MS" w:hAnsi="Trebuchet MS"/>
          <w:color w:val="000000"/>
          <w:sz w:val="20"/>
          <w:szCs w:val="20"/>
        </w:rPr>
        <w:t>fff)</w:t>
      </w:r>
      <w:r>
        <w:rPr>
          <w:rFonts w:ascii="Trebuchet MS" w:hAnsi="Trebuchet MS"/>
          <w:color w:val="000000"/>
          <w:sz w:val="20"/>
          <w:szCs w:val="20"/>
        </w:rPr>
        <w:t>, della legge 28 gennaio 2016, n.</w:t>
      </w:r>
      <w:r>
        <w:rPr>
          <w:rFonts w:ascii="Trebuchet MS" w:hAnsi="Trebuchet MS"/>
          <w:color w:val="000000"/>
          <w:sz w:val="20"/>
          <w:szCs w:val="20"/>
        </w:rPr>
        <w:t> </w:t>
      </w:r>
      <w:r>
        <w:rPr>
          <w:rFonts w:ascii="Trebuchet MS" w:hAnsi="Trebuchet MS"/>
          <w:color w:val="000000"/>
          <w:sz w:val="20"/>
          <w:szCs w:val="20"/>
        </w:rPr>
        <w:t>11;</w:t>
      </w:r>
      <w:r>
        <w:rPr>
          <w:rStyle w:val="apple-converted-space"/>
          <w:rFonts w:ascii="Trebuchet MS" w:hAnsi="Trebuchet MS"/>
          <w:color w:val="000000"/>
          <w:sz w:val="20"/>
          <w:szCs w:val="20"/>
        </w:rPr>
        <w:t> </w:t>
      </w:r>
      <w:r>
        <w:rPr>
          <w:rFonts w:ascii="Trebuchet MS" w:hAnsi="Trebuchet MS"/>
          <w:color w:val="000000"/>
          <w:sz w:val="20"/>
          <w:szCs w:val="20"/>
        </w:rPr>
        <w:br/>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f)</w:t>
      </w:r>
      <w:r>
        <w:rPr>
          <w:rStyle w:val="apple-converted-space"/>
          <w:rFonts w:ascii="Trebuchet MS" w:hAnsi="Trebuchet MS"/>
          <w:color w:val="000000"/>
          <w:sz w:val="20"/>
          <w:szCs w:val="20"/>
        </w:rPr>
        <w:t> </w:t>
      </w:r>
      <w:r>
        <w:rPr>
          <w:rFonts w:ascii="Trebuchet MS" w:hAnsi="Trebuchet MS"/>
          <w:color w:val="000000"/>
          <w:sz w:val="20"/>
          <w:szCs w:val="20"/>
        </w:rPr>
        <w:t>all'articolo 84, comma 4, lettera</w:t>
      </w:r>
      <w:r>
        <w:rPr>
          <w:rStyle w:val="apple-converted-space"/>
          <w:rFonts w:ascii="Trebuchet MS" w:hAnsi="Trebuchet MS"/>
          <w:color w:val="000000"/>
          <w:sz w:val="20"/>
          <w:szCs w:val="20"/>
        </w:rPr>
        <w:t> </w:t>
      </w:r>
      <w:r>
        <w:rPr>
          <w:rStyle w:val="Enfasicorsivo"/>
          <w:rFonts w:ascii="Trebuchet MS" w:hAnsi="Trebuchet MS"/>
          <w:color w:val="000000"/>
          <w:sz w:val="20"/>
          <w:szCs w:val="20"/>
        </w:rPr>
        <w:t>d)</w:t>
      </w:r>
      <w:r>
        <w:rPr>
          <w:rFonts w:ascii="Trebuchet MS" w:hAnsi="Trebuchet MS"/>
          <w:color w:val="000000"/>
          <w:sz w:val="20"/>
          <w:szCs w:val="20"/>
        </w:rPr>
        <w:t>, si valuti l'opportunità di aggiungere, in fine, le parole: «e il rispetto dei contratti collettivi di cui all'articolo 30, comma 4»;</w:t>
      </w:r>
      <w:r>
        <w:rPr>
          <w:rStyle w:val="apple-converted-space"/>
          <w:rFonts w:ascii="Trebuchet MS" w:hAnsi="Trebuchet MS"/>
          <w:color w:val="000000"/>
          <w:sz w:val="20"/>
          <w:szCs w:val="20"/>
        </w:rPr>
        <w:t> </w:t>
      </w:r>
      <w:r>
        <w:rPr>
          <w:rFonts w:ascii="Trebuchet MS" w:hAnsi="Trebuchet MS"/>
          <w:color w:val="000000"/>
          <w:sz w:val="20"/>
          <w:szCs w:val="20"/>
        </w:rPr>
        <w:br/>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g)</w:t>
      </w:r>
      <w:r>
        <w:rPr>
          <w:rStyle w:val="apple-converted-space"/>
          <w:rFonts w:ascii="Trebuchet MS" w:hAnsi="Trebuchet MS"/>
          <w:color w:val="000000"/>
          <w:sz w:val="20"/>
          <w:szCs w:val="20"/>
        </w:rPr>
        <w:t> </w:t>
      </w:r>
      <w:r>
        <w:rPr>
          <w:rFonts w:ascii="Trebuchet MS" w:hAnsi="Trebuchet MS"/>
          <w:color w:val="000000"/>
          <w:sz w:val="20"/>
          <w:szCs w:val="20"/>
        </w:rPr>
        <w:t>all'articolo 86, si valuti l'opportunità di apportare le seguenti modificazioni:</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1) al comma 2, lettera</w:t>
      </w:r>
      <w:r>
        <w:rPr>
          <w:rStyle w:val="apple-converted-space"/>
          <w:rFonts w:ascii="Trebuchet MS" w:hAnsi="Trebuchet MS"/>
          <w:color w:val="000000"/>
          <w:sz w:val="20"/>
          <w:szCs w:val="20"/>
        </w:rPr>
        <w:t> </w:t>
      </w:r>
      <w:r>
        <w:rPr>
          <w:rStyle w:val="Enfasicorsivo"/>
          <w:rFonts w:ascii="Trebuchet MS" w:hAnsi="Trebuchet MS"/>
          <w:color w:val="000000"/>
          <w:sz w:val="20"/>
          <w:szCs w:val="20"/>
        </w:rPr>
        <w:t>b)</w:t>
      </w:r>
      <w:r>
        <w:rPr>
          <w:rFonts w:ascii="Trebuchet MS" w:hAnsi="Trebuchet MS"/>
          <w:color w:val="000000"/>
          <w:sz w:val="20"/>
          <w:szCs w:val="20"/>
        </w:rPr>
        <w:t>, sostituire le parole: «comma 3» con le seguenti: «comma 4»;</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2) al comma 3, sostituire le parole: «ai commi 2 e 3» con le seguenti: «al comma 2»;</w:t>
      </w:r>
      <w:r>
        <w:rPr>
          <w:rStyle w:val="apple-converted-space"/>
          <w:rFonts w:ascii="Trebuchet MS" w:hAnsi="Trebuchet MS"/>
          <w:color w:val="000000"/>
          <w:sz w:val="20"/>
          <w:szCs w:val="20"/>
        </w:rPr>
        <w:t> </w:t>
      </w:r>
      <w:r>
        <w:rPr>
          <w:rFonts w:ascii="Trebuchet MS" w:hAnsi="Trebuchet MS"/>
          <w:color w:val="000000"/>
          <w:sz w:val="20"/>
          <w:szCs w:val="20"/>
        </w:rPr>
        <w:br/>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h)</w:t>
      </w:r>
      <w:r>
        <w:rPr>
          <w:rStyle w:val="apple-converted-space"/>
          <w:rFonts w:ascii="Trebuchet MS" w:hAnsi="Trebuchet MS"/>
          <w:color w:val="000000"/>
          <w:sz w:val="20"/>
          <w:szCs w:val="20"/>
        </w:rPr>
        <w:t> </w:t>
      </w:r>
      <w:r>
        <w:rPr>
          <w:rFonts w:ascii="Trebuchet MS" w:hAnsi="Trebuchet MS"/>
          <w:color w:val="000000"/>
          <w:sz w:val="20"/>
          <w:szCs w:val="20"/>
        </w:rPr>
        <w:t>al fine di assicurare una maggiore protezione dei lavoratori anche nei settori diversi da quelli indicati nel comma 3 dell'articolo 95, si valuti la possibilità di rivedere le disposizioni della lettera</w:t>
      </w:r>
      <w:r>
        <w:rPr>
          <w:rStyle w:val="apple-converted-space"/>
          <w:rFonts w:ascii="Trebuchet MS" w:hAnsi="Trebuchet MS"/>
          <w:color w:val="000000"/>
          <w:sz w:val="20"/>
          <w:szCs w:val="20"/>
        </w:rPr>
        <w:t> </w:t>
      </w:r>
      <w:r>
        <w:rPr>
          <w:rStyle w:val="Enfasicorsivo"/>
          <w:rFonts w:ascii="Trebuchet MS" w:hAnsi="Trebuchet MS"/>
          <w:color w:val="000000"/>
          <w:sz w:val="20"/>
          <w:szCs w:val="20"/>
        </w:rPr>
        <w:t>a)</w:t>
      </w:r>
      <w:r>
        <w:rPr>
          <w:rStyle w:val="apple-converted-space"/>
          <w:rFonts w:ascii="Trebuchet MS" w:hAnsi="Trebuchet MS"/>
          <w:color w:val="000000"/>
          <w:sz w:val="20"/>
          <w:szCs w:val="20"/>
        </w:rPr>
        <w:t> </w:t>
      </w:r>
      <w:r>
        <w:rPr>
          <w:rFonts w:ascii="Trebuchet MS" w:hAnsi="Trebuchet MS"/>
          <w:color w:val="000000"/>
          <w:sz w:val="20"/>
          <w:szCs w:val="20"/>
        </w:rPr>
        <w:t>del comma 5 del medesimo articolo 95, al fine di ridurre l'importo della soglia al di sotto della quale è consentito fare ricorso, per l'aggiudicazione dell'appalto, al criterio del minor prezzo o, comunque, di ampliare le fattispecie nelle quali l'aggiudicazione può avvenire esclusivamente sulla base del criterio dell'offerta economicamente più vantaggiosa;</w:t>
      </w:r>
      <w:r>
        <w:rPr>
          <w:rStyle w:val="apple-converted-space"/>
          <w:rFonts w:ascii="Trebuchet MS" w:hAnsi="Trebuchet MS"/>
          <w:color w:val="000000"/>
          <w:sz w:val="20"/>
          <w:szCs w:val="20"/>
        </w:rPr>
        <w:t> </w:t>
      </w:r>
      <w:r>
        <w:rPr>
          <w:rFonts w:ascii="Trebuchet MS" w:hAnsi="Trebuchet MS"/>
          <w:color w:val="000000"/>
          <w:sz w:val="20"/>
          <w:szCs w:val="20"/>
        </w:rPr>
        <w:br/>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i)</w:t>
      </w:r>
      <w:r>
        <w:rPr>
          <w:rStyle w:val="apple-converted-space"/>
          <w:rFonts w:ascii="Trebuchet MS" w:hAnsi="Trebuchet MS"/>
          <w:color w:val="000000"/>
          <w:sz w:val="20"/>
          <w:szCs w:val="20"/>
        </w:rPr>
        <w:t> </w:t>
      </w:r>
      <w:r>
        <w:rPr>
          <w:rFonts w:ascii="Trebuchet MS" w:hAnsi="Trebuchet MS"/>
          <w:color w:val="000000"/>
          <w:sz w:val="20"/>
          <w:szCs w:val="20"/>
        </w:rPr>
        <w:t>all'articolo 95, comma 13, si valuti l'opportunità di prevedere che, in linea con il criterio di delega di cui all'articolo 1, comma 1, lettera</w:t>
      </w:r>
      <w:r>
        <w:rPr>
          <w:rStyle w:val="apple-converted-space"/>
          <w:rFonts w:ascii="Trebuchet MS" w:hAnsi="Trebuchet MS"/>
          <w:color w:val="000000"/>
          <w:sz w:val="20"/>
          <w:szCs w:val="20"/>
        </w:rPr>
        <w:t> </w:t>
      </w:r>
      <w:r>
        <w:rPr>
          <w:rStyle w:val="Enfasicorsivo"/>
          <w:rFonts w:ascii="Trebuchet MS" w:hAnsi="Trebuchet MS"/>
          <w:color w:val="000000"/>
          <w:sz w:val="20"/>
          <w:szCs w:val="20"/>
        </w:rPr>
        <w:t>ddd)</w:t>
      </w:r>
      <w:r>
        <w:rPr>
          <w:rFonts w:ascii="Trebuchet MS" w:hAnsi="Trebuchet MS"/>
          <w:color w:val="000000"/>
          <w:sz w:val="20"/>
          <w:szCs w:val="20"/>
        </w:rPr>
        <w:t>, siano introdotti criteri premiali di valutazione delle offerte nei confronti delle imprese che, in caso di aggiudicazione, si impegnino, per l'esecuzione dell'appalto, a utilizzare, anche in parte, manodopera o personale a livello</w:t>
      </w:r>
      <w:r>
        <w:rPr>
          <w:rStyle w:val="apple-converted-space"/>
          <w:rFonts w:ascii="Trebuchet MS" w:hAnsi="Trebuchet MS"/>
          <w:color w:val="000000"/>
          <w:sz w:val="20"/>
          <w:szCs w:val="20"/>
        </w:rPr>
        <w:t> </w:t>
      </w:r>
      <w:r>
        <w:rPr>
          <w:rStyle w:val="numeropagina"/>
          <w:rFonts w:ascii="Trebuchet MS" w:hAnsi="Trebuchet MS"/>
          <w:color w:val="333333"/>
          <w:sz w:val="20"/>
          <w:szCs w:val="20"/>
        </w:rPr>
        <w:t>Pag. 87</w:t>
      </w:r>
      <w:r>
        <w:rPr>
          <w:rFonts w:ascii="Trebuchet MS" w:hAnsi="Trebuchet MS"/>
          <w:color w:val="000000"/>
          <w:sz w:val="20"/>
          <w:szCs w:val="20"/>
        </w:rPr>
        <w:t>locale ovvero in via prioritaria gli addetti già impiegati nel medesimo appalto, nonché favoriscano la promozione della continuità dei livelli occupazionali, attribuendo un peso specifico anche alle ricadute occupazionali sottese alle procedure di accesso al mercato degli appalti pubblici;</w:t>
      </w:r>
      <w:r>
        <w:rPr>
          <w:rStyle w:val="apple-converted-space"/>
          <w:rFonts w:ascii="Trebuchet MS" w:hAnsi="Trebuchet MS"/>
          <w:color w:val="000000"/>
          <w:sz w:val="20"/>
          <w:szCs w:val="20"/>
        </w:rPr>
        <w:t> </w:t>
      </w:r>
      <w:r>
        <w:rPr>
          <w:rFonts w:ascii="Trebuchet MS" w:hAnsi="Trebuchet MS"/>
          <w:color w:val="000000"/>
          <w:sz w:val="20"/>
          <w:szCs w:val="20"/>
        </w:rPr>
        <w:br/>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l)</w:t>
      </w:r>
      <w:r>
        <w:rPr>
          <w:rStyle w:val="apple-converted-space"/>
          <w:rFonts w:ascii="Trebuchet MS" w:hAnsi="Trebuchet MS"/>
          <w:color w:val="000000"/>
          <w:sz w:val="20"/>
          <w:szCs w:val="20"/>
        </w:rPr>
        <w:t> </w:t>
      </w:r>
      <w:r>
        <w:rPr>
          <w:rFonts w:ascii="Trebuchet MS" w:hAnsi="Trebuchet MS"/>
          <w:color w:val="000000"/>
          <w:sz w:val="20"/>
          <w:szCs w:val="20"/>
        </w:rPr>
        <w:t>con riferimento alla disciplina del subappalto, si valuti la possibilità di rivedere le disposizioni dell'articolo 105, comma 5, al fine di introdurre un limite di carattere generale alla quota parte dei lavori e dei servizi che può essere subappaltata, in misura non superiore al trenta per cento, in linea con quanto attualmente previsto dall'articolo 118, comma 2, alinea, del decreto legislativo 12 aprile 2006, n.</w:t>
      </w:r>
      <w:r>
        <w:rPr>
          <w:rFonts w:ascii="Trebuchet MS" w:hAnsi="Trebuchet MS"/>
          <w:color w:val="000000"/>
          <w:sz w:val="20"/>
          <w:szCs w:val="20"/>
        </w:rPr>
        <w:t> </w:t>
      </w:r>
      <w:r>
        <w:rPr>
          <w:rFonts w:ascii="Trebuchet MS" w:hAnsi="Trebuchet MS"/>
          <w:color w:val="000000"/>
          <w:sz w:val="20"/>
          <w:szCs w:val="20"/>
        </w:rPr>
        <w:t>163;</w:t>
      </w:r>
      <w:r>
        <w:rPr>
          <w:rStyle w:val="apple-converted-space"/>
          <w:rFonts w:ascii="Trebuchet MS" w:hAnsi="Trebuchet MS"/>
          <w:color w:val="000000"/>
          <w:sz w:val="20"/>
          <w:szCs w:val="20"/>
        </w:rPr>
        <w:t> </w:t>
      </w:r>
      <w:r>
        <w:rPr>
          <w:rFonts w:ascii="Trebuchet MS" w:hAnsi="Trebuchet MS"/>
          <w:color w:val="000000"/>
          <w:sz w:val="20"/>
          <w:szCs w:val="20"/>
        </w:rPr>
        <w:br/>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m)</w:t>
      </w:r>
      <w:r>
        <w:rPr>
          <w:rStyle w:val="apple-converted-space"/>
          <w:rFonts w:ascii="Trebuchet MS" w:hAnsi="Trebuchet MS"/>
          <w:color w:val="000000"/>
          <w:sz w:val="20"/>
          <w:szCs w:val="20"/>
        </w:rPr>
        <w:t> </w:t>
      </w:r>
      <w:r>
        <w:rPr>
          <w:rFonts w:ascii="Trebuchet MS" w:hAnsi="Trebuchet MS"/>
          <w:color w:val="000000"/>
          <w:sz w:val="20"/>
          <w:szCs w:val="20"/>
        </w:rPr>
        <w:t>si valuti l'opportunità di rivedere la disciplina della solidarietà nei confronti dei dipendenti dell'impresa subappaltatrice, in relazione agli obblighi retributivi e contributivi previsti dalla legislazione vigente, nei casi di pagamento diretto alla medesima impresa, al fine di rendere omogenea la normativa applicabile agli appalti di lavori, servizi e forniture, di cui all'articolo 105, comma 13, e quella riferita all'esecuzione delle concessioni, di cui all'articolo 174, comma 7;</w:t>
      </w:r>
      <w:r>
        <w:rPr>
          <w:rStyle w:val="apple-converted-space"/>
          <w:rFonts w:ascii="Trebuchet MS" w:hAnsi="Trebuchet MS"/>
          <w:color w:val="000000"/>
          <w:sz w:val="20"/>
          <w:szCs w:val="20"/>
        </w:rPr>
        <w:t> </w:t>
      </w:r>
      <w:r>
        <w:rPr>
          <w:rFonts w:ascii="Trebuchet MS" w:hAnsi="Trebuchet MS"/>
          <w:color w:val="000000"/>
          <w:sz w:val="20"/>
          <w:szCs w:val="20"/>
        </w:rPr>
        <w:br/>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n)</w:t>
      </w:r>
      <w:r>
        <w:rPr>
          <w:rStyle w:val="apple-converted-space"/>
          <w:rFonts w:ascii="Trebuchet MS" w:hAnsi="Trebuchet MS"/>
          <w:color w:val="000000"/>
          <w:sz w:val="20"/>
          <w:szCs w:val="20"/>
        </w:rPr>
        <w:t> </w:t>
      </w:r>
      <w:r>
        <w:rPr>
          <w:rFonts w:ascii="Trebuchet MS" w:hAnsi="Trebuchet MS"/>
          <w:color w:val="000000"/>
          <w:sz w:val="20"/>
          <w:szCs w:val="20"/>
        </w:rPr>
        <w:t>all'articolo 177, comma 1, primo periodo, dopo le parole: «per la stabilità», si valuti l'opportunità di inserire la seguente: «occupazionale»;</w:t>
      </w:r>
      <w:r>
        <w:rPr>
          <w:rStyle w:val="apple-converted-space"/>
          <w:rFonts w:ascii="Trebuchet MS" w:hAnsi="Trebuchet MS"/>
          <w:color w:val="000000"/>
          <w:sz w:val="20"/>
          <w:szCs w:val="20"/>
        </w:rPr>
        <w:t> </w:t>
      </w:r>
      <w:r>
        <w:rPr>
          <w:rFonts w:ascii="Trebuchet MS" w:hAnsi="Trebuchet MS"/>
          <w:color w:val="000000"/>
          <w:sz w:val="20"/>
          <w:szCs w:val="20"/>
        </w:rPr>
        <w:br/>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o)</w:t>
      </w:r>
      <w:r>
        <w:rPr>
          <w:rStyle w:val="apple-converted-space"/>
          <w:rFonts w:ascii="Trebuchet MS" w:hAnsi="Trebuchet MS"/>
          <w:color w:val="000000"/>
          <w:sz w:val="20"/>
          <w:szCs w:val="20"/>
        </w:rPr>
        <w:t> </w:t>
      </w:r>
      <w:r>
        <w:rPr>
          <w:rFonts w:ascii="Trebuchet MS" w:hAnsi="Trebuchet MS"/>
          <w:color w:val="000000"/>
          <w:sz w:val="20"/>
          <w:szCs w:val="20"/>
        </w:rPr>
        <w:t>con riferimento alla Cabina di regia da istituire presso la Presidenza del Consiglio dei ministri ai sensi dell'articolo 212, si valuti la possibilità di prevedere il più ampio coinvolgimento delle associazioni sindacali comparativamente più rappresentative sul piano nazionale, anche al fine di garantire che nella ricognizione sullo stato di attuazione del codice siano adeguatamente valutate le ricadute occupazionali delle diverse procedure previste.</w:t>
      </w:r>
    </w:p>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283"/>
  <w:characterSpacingControl w:val="doNotCompress"/>
  <w:compat/>
  <w:rsids>
    <w:rsidRoot w:val="00387702"/>
    <w:rsid w:val="002472D8"/>
    <w:rsid w:val="00387702"/>
    <w:rsid w:val="00D17DEC"/>
    <w:rsid w:val="00F21AE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ede">
    <w:name w:val="sede"/>
    <w:basedOn w:val="Normale"/>
    <w:rsid w:val="0038770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87702"/>
    <w:rPr>
      <w:b/>
      <w:bCs/>
    </w:rPr>
  </w:style>
  <w:style w:type="paragraph" w:customStyle="1" w:styleId="titolo">
    <w:name w:val="titolo"/>
    <w:basedOn w:val="Normale"/>
    <w:rsid w:val="0038770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38770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387702"/>
  </w:style>
  <w:style w:type="character" w:styleId="Enfasicorsivo">
    <w:name w:val="Emphasis"/>
    <w:basedOn w:val="Carpredefinitoparagrafo"/>
    <w:uiPriority w:val="20"/>
    <w:qFormat/>
    <w:rsid w:val="00387702"/>
    <w:rPr>
      <w:i/>
      <w:iCs/>
    </w:rPr>
  </w:style>
  <w:style w:type="character" w:customStyle="1" w:styleId="numeropagina">
    <w:name w:val="numeropagina"/>
    <w:basedOn w:val="Carpredefinitoparagrafo"/>
    <w:rsid w:val="00387702"/>
  </w:style>
  <w:style w:type="paragraph" w:customStyle="1" w:styleId="center">
    <w:name w:val="center"/>
    <w:basedOn w:val="Normale"/>
    <w:rsid w:val="0038770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40730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2493</Words>
  <Characters>14213</Characters>
  <Application>Microsoft Office Word</Application>
  <DocSecurity>0</DocSecurity>
  <Lines>118</Lines>
  <Paragraphs>33</Paragraphs>
  <ScaleCrop>false</ScaleCrop>
  <Company/>
  <LinksUpToDate>false</LinksUpToDate>
  <CharactersWithSpaces>16673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2016-04-02T00:44:00Z</dcterms:created>
  <dcterms:modified xsi:type="dcterms:W3CDTF">2016-04-02T00:45:00Z</dcterms:modified>
</cp:coreProperties>
</file>