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CAMERA DEI DEPUTATI</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333333"/>
          <w:sz w:val="20"/>
          <w:szCs w:val="20"/>
          <w:lang w:eastAsia="it-IT"/>
        </w:rPr>
        <w:t>Giovedì 6 novembre 2014</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333333"/>
          <w:sz w:val="20"/>
          <w:szCs w:val="20"/>
          <w:lang w:eastAsia="it-IT"/>
        </w:rPr>
        <w:t xml:space="preserve">330. </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XVII LEGISLATURA</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BOLLETTINO</w:t>
      </w:r>
      <w:r w:rsidRPr="00683D6F">
        <w:rPr>
          <w:rFonts w:ascii="Trebuchet MS" w:eastAsia="Times New Roman" w:hAnsi="Trebuchet MS" w:cs="Times New Roman"/>
          <w:color w:val="666666"/>
          <w:sz w:val="20"/>
          <w:szCs w:val="20"/>
          <w:lang w:eastAsia="it-IT"/>
        </w:rPr>
        <w:br/>
        <w:t>DELLE GIUNTE E DELLE COMMISSIONI PARLAMENTARI</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Lavoro pubblico e privato (XI)</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ALLEGATO 1</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Legge di stabilità 2015 (C. 2679-</w:t>
      </w:r>
      <w:r w:rsidRPr="00683D6F">
        <w:rPr>
          <w:rFonts w:ascii="Trebuchet MS" w:eastAsia="Times New Roman" w:hAnsi="Trebuchet MS" w:cs="Times New Roman"/>
          <w:b/>
          <w:bCs/>
          <w:i/>
          <w:iCs/>
          <w:color w:val="666666"/>
          <w:sz w:val="20"/>
          <w:lang w:eastAsia="it-IT"/>
        </w:rPr>
        <w:t>bis</w:t>
      </w:r>
      <w:r w:rsidRPr="00683D6F">
        <w:rPr>
          <w:rFonts w:ascii="Trebuchet MS" w:eastAsia="Times New Roman" w:hAnsi="Trebuchet MS" w:cs="Times New Roman"/>
          <w:b/>
          <w:bCs/>
          <w:color w:val="666666"/>
          <w:sz w:val="20"/>
          <w:lang w:eastAsia="it-IT"/>
        </w:rPr>
        <w:t xml:space="preserve"> Governo).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 xml:space="preserve">Bilancio di previsione dello Stato per l'anno finanziario 2015 e bilancio pluriennale per il triennio 2015-2017. (C. 2680 Governo).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Tabella n.</w:t>
      </w:r>
      <w:r w:rsidRPr="00683D6F">
        <w:rPr>
          <w:rFonts w:ascii="Trebuchet MS" w:eastAsia="Times New Roman" w:hAnsi="Trebuchet MS" w:cs="Times New Roman"/>
          <w:b/>
          <w:bCs/>
          <w:color w:val="666666"/>
          <w:sz w:val="20"/>
          <w:lang w:eastAsia="it-IT"/>
        </w:rPr>
        <w:t> </w:t>
      </w:r>
      <w:r w:rsidRPr="00683D6F">
        <w:rPr>
          <w:rFonts w:ascii="Trebuchet MS" w:eastAsia="Times New Roman" w:hAnsi="Trebuchet MS" w:cs="Times New Roman"/>
          <w:b/>
          <w:bCs/>
          <w:color w:val="666666"/>
          <w:sz w:val="20"/>
          <w:lang w:eastAsia="it-IT"/>
        </w:rPr>
        <w:t xml:space="preserve">2: Stato di previsione del Ministero dell'economia e delle finanze (limitatamente alle parti di competenza).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 xml:space="preserve">PROPOSTA </w:t>
      </w:r>
      <w:proofErr w:type="spellStart"/>
      <w:r w:rsidRPr="00683D6F">
        <w:rPr>
          <w:rFonts w:ascii="Trebuchet MS" w:eastAsia="Times New Roman" w:hAnsi="Trebuchet MS" w:cs="Times New Roman"/>
          <w:b/>
          <w:bCs/>
          <w:color w:val="666666"/>
          <w:sz w:val="20"/>
          <w:lang w:eastAsia="it-IT"/>
        </w:rPr>
        <w:t>DI</w:t>
      </w:r>
      <w:proofErr w:type="spellEnd"/>
      <w:r w:rsidRPr="00683D6F">
        <w:rPr>
          <w:rFonts w:ascii="Trebuchet MS" w:eastAsia="Times New Roman" w:hAnsi="Trebuchet MS" w:cs="Times New Roman"/>
          <w:b/>
          <w:bCs/>
          <w:color w:val="666666"/>
          <w:sz w:val="20"/>
          <w:lang w:eastAsia="it-IT"/>
        </w:rPr>
        <w:t xml:space="preserve"> RELAZIONE DEL RELATORE</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La XI Commissione,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esaminato, limitatamente alle parti di competenza, lo stato di previsione del Ministero dell'economia e delle finanze (Tabella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 del bilancio di previsione dello Stato per l'anno finanziario 2015 e del bilancio pluriennale per il triennio 2015-2017 (C. 2680), nonché le connesse parti del disegno di legge di stabilità 2015 (C. 2679-</w:t>
      </w:r>
      <w:r w:rsidRPr="00683D6F">
        <w:rPr>
          <w:rFonts w:ascii="Trebuchet MS" w:eastAsia="Times New Roman" w:hAnsi="Trebuchet MS" w:cs="Times New Roman"/>
          <w:i/>
          <w:iCs/>
          <w:color w:val="666666"/>
          <w:sz w:val="20"/>
          <w:lang w:eastAsia="it-IT"/>
        </w:rPr>
        <w:t>bis</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considerati gli stanziamenti riferibili ai programmi di competenza della Commissione iscritti nella Tabella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 riguardanti in particolare i trasferimenti agli enti previdenziali, nell'ambito della missione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18 relativa alle Politiche previdenziali, gli infortuni sul lavoro, nell'ambito della missione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19 relativa alle Politiche per il lavoro, nonché gli interventi di competenza iscritti nei programmi relativi alla protezione sociale per particolari categorie, alla promozione e garanzia dei diritti e delle pari opportunità e al sostegno in favore di pensionati di guerra ed assimilati, perseguitati politici e razziali, nell'ambito della missione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17, relativa alla garanzia dei diritti dei cittadini;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condivise, con riferimento alla materia della garanzia dei diritti e delle pari opportunità, le finalità dell'intervento di cui all'articolo 13 del disegno di legge di stabilità, che, nell'ambito di misure per la famiglia, prevede la corresponsione, per i figli nati o adottati tra il 1</w:t>
      </w:r>
      <w:r w:rsidRPr="00683D6F">
        <w:rPr>
          <w:rFonts w:ascii="Trebuchet MS" w:eastAsia="Times New Roman" w:hAnsi="Trebuchet MS" w:cs="Times New Roman"/>
          <w:color w:val="666666"/>
          <w:sz w:val="20"/>
          <w:szCs w:val="20"/>
          <w:vertAlign w:val="superscript"/>
          <w:lang w:eastAsia="it-IT"/>
        </w:rPr>
        <w:t>o</w:t>
      </w:r>
      <w:r w:rsidRPr="00683D6F">
        <w:rPr>
          <w:rFonts w:ascii="Trebuchet MS" w:eastAsia="Times New Roman" w:hAnsi="Trebuchet MS" w:cs="Times New Roman"/>
          <w:color w:val="666666"/>
          <w:sz w:val="20"/>
          <w:szCs w:val="20"/>
          <w:lang w:eastAsia="it-IT"/>
        </w:rPr>
        <w:t xml:space="preserve"> gennaio 2015 e il 31 dicembre 2017, di un assegno di importo annuo pari a 960 euro erogato mensilmente fino al compimento del terzo anno di età o di ingresso nel nucleo familiare, in favore dei genitori che nell'anno precedente abbiano conseguito un reddito familiare non superiore a 90.000 euro;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che le medesime finalità di sostegno alle famiglie sono perseguite anche dalle disposizioni del disegno di legge in materia di lavoro, collegato alla manovra di bilancio, laddove, all'articolo 1, comma 8, reca una delega al Governo per l'adozione, tra l'altro, di interventi tesi a garantire adeguato sostegno alla genitorialità, attraverso misure volte a tutelare la maternità delle lavoratrici e favorire le opportunità di conciliazione dei tempi di vita e di lavoro;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rilevato che si rende opportuno prevedere un adeguato finanziamento di tali misure, anche in considerazione di quanto previsto dall'articolo 11 del disegno di legge di stabilità, che costituisce un fondo con una dotazione di due miliardi di euro a decorrere dall'anno 2015 finalizzato a far fronte agli oneri derivanti dall'attuazione di provvedimenti normativi concernenti, tra l'altro, la tutela e la conciliazione delle esigenze di cura, di vita e di lavoro;</w:t>
      </w:r>
      <w:proofErr w:type="spellStart"/>
      <w:r w:rsidRPr="00683D6F">
        <w:rPr>
          <w:rFonts w:ascii="Trebuchet MS" w:eastAsia="Times New Roman" w:hAnsi="Trebuchet MS" w:cs="Times New Roman"/>
          <w:color w:val="333333"/>
          <w:sz w:val="20"/>
          <w:szCs w:val="20"/>
          <w:lang w:eastAsia="it-IT"/>
        </w:rPr>
        <w:t>Pag</w:t>
      </w:r>
      <w:proofErr w:type="spellEnd"/>
      <w:r w:rsidRPr="00683D6F">
        <w:rPr>
          <w:rFonts w:ascii="Trebuchet MS" w:eastAsia="Times New Roman" w:hAnsi="Trebuchet MS" w:cs="Times New Roman"/>
          <w:color w:val="333333"/>
          <w:sz w:val="20"/>
          <w:szCs w:val="20"/>
          <w:lang w:eastAsia="it-IT"/>
        </w:rPr>
        <w:t>. 230</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segnalata l'opportunità di rafforzare il coordinamento delle iniziative in materia di pari opportunità anche sul piano lavorativo, attraverso l'istituzione di una specifica </w:t>
      </w:r>
      <w:r w:rsidRPr="00683D6F">
        <w:rPr>
          <w:rFonts w:ascii="Trebuchet MS" w:eastAsia="Times New Roman" w:hAnsi="Trebuchet MS" w:cs="Times New Roman"/>
          <w:i/>
          <w:iCs/>
          <w:color w:val="666666"/>
          <w:sz w:val="20"/>
          <w:lang w:eastAsia="it-IT"/>
        </w:rPr>
        <w:t xml:space="preserve">task </w:t>
      </w:r>
      <w:proofErr w:type="spellStart"/>
      <w:r w:rsidRPr="00683D6F">
        <w:rPr>
          <w:rFonts w:ascii="Trebuchet MS" w:eastAsia="Times New Roman" w:hAnsi="Trebuchet MS" w:cs="Times New Roman"/>
          <w:i/>
          <w:iCs/>
          <w:color w:val="666666"/>
          <w:sz w:val="20"/>
          <w:lang w:eastAsia="it-IT"/>
        </w:rPr>
        <w:t>force</w:t>
      </w:r>
      <w:proofErr w:type="spellEnd"/>
      <w:r w:rsidRPr="00683D6F">
        <w:rPr>
          <w:rFonts w:ascii="Trebuchet MS" w:eastAsia="Times New Roman" w:hAnsi="Trebuchet MS" w:cs="Times New Roman"/>
          <w:color w:val="666666"/>
          <w:sz w:val="20"/>
          <w:szCs w:val="20"/>
          <w:lang w:eastAsia="it-IT"/>
        </w:rPr>
        <w:t xml:space="preserve"> multidisciplinare;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nell'ambito della missione relativa alle politiche previdenziali, sono stanziate risorse per il versamento di contributi alla gestione ex INPDAP a carico delle amministrazioni statali;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in linea con quanto evidenziato nella Nota integrativa al disegno di legge di bilancio per l'anno 2015 e per il triennio 2015-2017 riferita stato di previsione del Ministero del lavoro e delle politiche sociali, è opportuno proseguire nella direzione del completamento del processo di riforma della </w:t>
      </w:r>
      <w:proofErr w:type="spellStart"/>
      <w:r w:rsidRPr="00683D6F">
        <w:rPr>
          <w:rFonts w:ascii="Trebuchet MS" w:eastAsia="Times New Roman" w:hAnsi="Trebuchet MS" w:cs="Times New Roman"/>
          <w:i/>
          <w:iCs/>
          <w:color w:val="666666"/>
          <w:sz w:val="20"/>
          <w:lang w:eastAsia="it-IT"/>
        </w:rPr>
        <w:t>governance</w:t>
      </w:r>
      <w:proofErr w:type="spellEnd"/>
      <w:r w:rsidRPr="00683D6F">
        <w:rPr>
          <w:rFonts w:ascii="Trebuchet MS" w:eastAsia="Times New Roman" w:hAnsi="Trebuchet MS" w:cs="Times New Roman"/>
          <w:i/>
          <w:iCs/>
          <w:color w:val="666666"/>
          <w:sz w:val="20"/>
          <w:lang w:eastAsia="it-IT"/>
        </w:rPr>
        <w:t xml:space="preserve"> </w:t>
      </w:r>
      <w:r w:rsidRPr="00683D6F">
        <w:rPr>
          <w:rFonts w:ascii="Trebuchet MS" w:eastAsia="Times New Roman" w:hAnsi="Trebuchet MS" w:cs="Times New Roman"/>
          <w:color w:val="666666"/>
          <w:sz w:val="20"/>
          <w:szCs w:val="20"/>
          <w:lang w:eastAsia="it-IT"/>
        </w:rPr>
        <w:t>degli enti previdenziali anche alla luce dell'incorporazione dell'ENPALS e dell'INPDAP nell'INPS, disposta dall'articolo 21 del decreto-legge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201 del 2011, convertito, con modificazioni, dalla legge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214 del 2011,</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 xml:space="preserve">DELIBERA </w:t>
      </w:r>
      <w:proofErr w:type="spellStart"/>
      <w:r w:rsidRPr="00683D6F">
        <w:rPr>
          <w:rFonts w:ascii="Trebuchet MS" w:eastAsia="Times New Roman" w:hAnsi="Trebuchet MS" w:cs="Times New Roman"/>
          <w:color w:val="666666"/>
          <w:sz w:val="20"/>
          <w:szCs w:val="20"/>
          <w:lang w:eastAsia="it-IT"/>
        </w:rPr>
        <w:t>DI</w:t>
      </w:r>
      <w:proofErr w:type="spellEnd"/>
      <w:r w:rsidRPr="00683D6F">
        <w:rPr>
          <w:rFonts w:ascii="Trebuchet MS" w:eastAsia="Times New Roman" w:hAnsi="Trebuchet MS" w:cs="Times New Roman"/>
          <w:color w:val="666666"/>
          <w:sz w:val="20"/>
          <w:szCs w:val="20"/>
          <w:lang w:eastAsia="it-IT"/>
        </w:rPr>
        <w:t xml:space="preserve"> RIFERIRE FAVOREVOLMENTE</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lastRenderedPageBreak/>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i/>
          <w:iCs/>
          <w:color w:val="666666"/>
          <w:sz w:val="20"/>
          <w:lang w:eastAsia="it-IT"/>
        </w:rPr>
        <w:t>con le seguenti osservazioni:</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a)</w:t>
      </w:r>
      <w:r w:rsidRPr="00683D6F">
        <w:rPr>
          <w:rFonts w:ascii="Trebuchet MS" w:eastAsia="Times New Roman" w:hAnsi="Trebuchet MS" w:cs="Times New Roman"/>
          <w:color w:val="666666"/>
          <w:sz w:val="20"/>
          <w:szCs w:val="20"/>
          <w:lang w:eastAsia="it-IT"/>
        </w:rPr>
        <w:t xml:space="preserve"> si raccomanda che, nell'ambito delle misure volte alla tutela della genitorialità, vengano destinate adeguate risorse al finanziamento di interventi tesi a garantire la conciliazione delle esigenze di cura, di vita e di lavoro, anche in vista dell'attuazione della delega di cui all'articolo 1, comma 8, del disegno di legge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2660, attualmente all'esame della Camera, privilegiando interventi tesi a favorire l'accesso ai servizi alla persona e, in particolare agli asili nido; in questo contesto, al fine di reperire maggiori risorse da destinare agli interventi, si valuti l'opportunità di ridurre il limite di reddito previsto per il riconoscimento del diritto all'assegno di cui all'articolo 13, comma 1, della legge di stabilità;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b)</w:t>
      </w:r>
      <w:r w:rsidRPr="00683D6F">
        <w:rPr>
          <w:rFonts w:ascii="Trebuchet MS" w:eastAsia="Times New Roman" w:hAnsi="Trebuchet MS" w:cs="Times New Roman"/>
          <w:color w:val="666666"/>
          <w:sz w:val="20"/>
          <w:szCs w:val="20"/>
          <w:lang w:eastAsia="it-IT"/>
        </w:rPr>
        <w:t xml:space="preserve"> al fine di rafforzare il coordinamento delle iniziative in materia di pari opportunità anche sul piano lavorativo, si valuti l'opportunità di istituire una specifica </w:t>
      </w:r>
      <w:r w:rsidRPr="00683D6F">
        <w:rPr>
          <w:rFonts w:ascii="Trebuchet MS" w:eastAsia="Times New Roman" w:hAnsi="Trebuchet MS" w:cs="Times New Roman"/>
          <w:i/>
          <w:iCs/>
          <w:color w:val="666666"/>
          <w:sz w:val="20"/>
          <w:lang w:eastAsia="it-IT"/>
        </w:rPr>
        <w:t xml:space="preserve">task </w:t>
      </w:r>
      <w:proofErr w:type="spellStart"/>
      <w:r w:rsidRPr="00683D6F">
        <w:rPr>
          <w:rFonts w:ascii="Trebuchet MS" w:eastAsia="Times New Roman" w:hAnsi="Trebuchet MS" w:cs="Times New Roman"/>
          <w:i/>
          <w:iCs/>
          <w:color w:val="666666"/>
          <w:sz w:val="20"/>
          <w:lang w:eastAsia="it-IT"/>
        </w:rPr>
        <w:t>force</w:t>
      </w:r>
      <w:proofErr w:type="spellEnd"/>
      <w:r w:rsidRPr="00683D6F">
        <w:rPr>
          <w:rFonts w:ascii="Trebuchet MS" w:eastAsia="Times New Roman" w:hAnsi="Trebuchet MS" w:cs="Times New Roman"/>
          <w:color w:val="666666"/>
          <w:sz w:val="20"/>
          <w:szCs w:val="20"/>
          <w:lang w:eastAsia="it-IT"/>
        </w:rPr>
        <w:t xml:space="preserve"> multidisciplinare, che, anche alla luce di un'analisi comparata, formuli proposte di modifica e integrazione della normativa vigente, in materia di conciliazione dei tempi di vita e di lavoro e di responsabilità di cura, allo scopo di favorire l'occupazione femminile e il riequilibrio dei ruoli tra uomo e donna;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c)</w:t>
      </w:r>
      <w:r w:rsidRPr="00683D6F">
        <w:rPr>
          <w:rFonts w:ascii="Trebuchet MS" w:eastAsia="Times New Roman" w:hAnsi="Trebuchet MS" w:cs="Times New Roman"/>
          <w:color w:val="666666"/>
          <w:sz w:val="20"/>
          <w:szCs w:val="20"/>
          <w:lang w:eastAsia="it-IT"/>
        </w:rPr>
        <w:t xml:space="preserve"> si segnala l'opportunità di completare il processo di riforma della </w:t>
      </w:r>
      <w:proofErr w:type="spellStart"/>
      <w:r w:rsidRPr="00683D6F">
        <w:rPr>
          <w:rFonts w:ascii="Trebuchet MS" w:eastAsia="Times New Roman" w:hAnsi="Trebuchet MS" w:cs="Times New Roman"/>
          <w:i/>
          <w:iCs/>
          <w:color w:val="666666"/>
          <w:sz w:val="20"/>
          <w:lang w:eastAsia="it-IT"/>
        </w:rPr>
        <w:t>governance</w:t>
      </w:r>
      <w:proofErr w:type="spellEnd"/>
      <w:r w:rsidRPr="00683D6F">
        <w:rPr>
          <w:rFonts w:ascii="Trebuchet MS" w:eastAsia="Times New Roman" w:hAnsi="Trebuchet MS" w:cs="Times New Roman"/>
          <w:color w:val="666666"/>
          <w:sz w:val="20"/>
          <w:szCs w:val="20"/>
          <w:lang w:eastAsia="it-IT"/>
        </w:rPr>
        <w:t xml:space="preserve"> degli enti di previdenza, superando la gestione commissariale dell'INPS e definendo compiutamente il riassetto degli apparati degli enti soppressi e incorporati nel medesimo istituto.</w:t>
      </w:r>
    </w:p>
    <w:p w:rsidR="00683D6F" w:rsidRPr="00683D6F" w:rsidRDefault="00683D6F" w:rsidP="00683D6F">
      <w:pPr>
        <w:shd w:val="clear" w:color="auto" w:fill="FFFFFF"/>
        <w:spacing w:after="0"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333333"/>
          <w:sz w:val="20"/>
          <w:szCs w:val="20"/>
          <w:lang w:eastAsia="it-IT"/>
        </w:rPr>
        <w:t>Pag. 231</w:t>
      </w:r>
      <w:r w:rsidRPr="00683D6F">
        <w:rPr>
          <w:rFonts w:ascii="Trebuchet MS" w:eastAsia="Times New Roman" w:hAnsi="Trebuchet MS" w:cs="Times New Roman"/>
          <w:color w:val="666666"/>
          <w:sz w:val="20"/>
          <w:szCs w:val="20"/>
          <w:lang w:eastAsia="it-IT"/>
        </w:rPr>
        <w:t xml:space="preserve">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ALLEGATO 2</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Legge di stabilità 2015 (C. 2679-</w:t>
      </w:r>
      <w:r w:rsidRPr="00683D6F">
        <w:rPr>
          <w:rFonts w:ascii="Trebuchet MS" w:eastAsia="Times New Roman" w:hAnsi="Trebuchet MS" w:cs="Times New Roman"/>
          <w:b/>
          <w:bCs/>
          <w:i/>
          <w:iCs/>
          <w:color w:val="666666"/>
          <w:sz w:val="20"/>
          <w:lang w:eastAsia="it-IT"/>
        </w:rPr>
        <w:t xml:space="preserve">bis </w:t>
      </w:r>
      <w:r w:rsidRPr="00683D6F">
        <w:rPr>
          <w:rFonts w:ascii="Trebuchet MS" w:eastAsia="Times New Roman" w:hAnsi="Trebuchet MS" w:cs="Times New Roman"/>
          <w:b/>
          <w:bCs/>
          <w:color w:val="666666"/>
          <w:sz w:val="20"/>
          <w:lang w:eastAsia="it-IT"/>
        </w:rPr>
        <w:t xml:space="preserve">Governo).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 xml:space="preserve">Bilancio di previsione dello Stato per l'anno finanziario 2015 e bilancio pluriennale per il triennio 2015-2017. (C. 2680 Governo).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Tabella n.</w:t>
      </w:r>
      <w:r w:rsidRPr="00683D6F">
        <w:rPr>
          <w:rFonts w:ascii="Trebuchet MS" w:eastAsia="Times New Roman" w:hAnsi="Trebuchet MS" w:cs="Times New Roman"/>
          <w:b/>
          <w:bCs/>
          <w:color w:val="666666"/>
          <w:sz w:val="20"/>
          <w:lang w:eastAsia="it-IT"/>
        </w:rPr>
        <w:t> </w:t>
      </w:r>
      <w:r w:rsidRPr="00683D6F">
        <w:rPr>
          <w:rFonts w:ascii="Trebuchet MS" w:eastAsia="Times New Roman" w:hAnsi="Trebuchet MS" w:cs="Times New Roman"/>
          <w:b/>
          <w:bCs/>
          <w:color w:val="666666"/>
          <w:sz w:val="20"/>
          <w:lang w:eastAsia="it-IT"/>
        </w:rPr>
        <w:t xml:space="preserve">4: Stato di previsione del Ministero del lavoro e delle politiche sociali (limitatamente alle parti di competenza). </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b/>
          <w:bCs/>
          <w:color w:val="666666"/>
          <w:sz w:val="20"/>
          <w:lang w:eastAsia="it-IT"/>
        </w:rPr>
        <w:t xml:space="preserve">PROPOSTA </w:t>
      </w:r>
      <w:proofErr w:type="spellStart"/>
      <w:r w:rsidRPr="00683D6F">
        <w:rPr>
          <w:rFonts w:ascii="Trebuchet MS" w:eastAsia="Times New Roman" w:hAnsi="Trebuchet MS" w:cs="Times New Roman"/>
          <w:b/>
          <w:bCs/>
          <w:color w:val="666666"/>
          <w:sz w:val="20"/>
          <w:lang w:eastAsia="it-IT"/>
        </w:rPr>
        <w:t>DI</w:t>
      </w:r>
      <w:proofErr w:type="spellEnd"/>
      <w:r w:rsidRPr="00683D6F">
        <w:rPr>
          <w:rFonts w:ascii="Trebuchet MS" w:eastAsia="Times New Roman" w:hAnsi="Trebuchet MS" w:cs="Times New Roman"/>
          <w:b/>
          <w:bCs/>
          <w:color w:val="666666"/>
          <w:sz w:val="20"/>
          <w:lang w:eastAsia="it-IT"/>
        </w:rPr>
        <w:t xml:space="preserve"> RELAZIONE DEL RELATORE</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La XI Commissione,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esaminato, limitatamente alle parti di competenza, lo stato di previsione del Ministero del lavoro e delle politiche sociali (Tabella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4) del bilancio di previsione dello Stato per l'anno finanziario 2015 e del bilancio pluriennale per il triennio 2015-2017 (C. 2680), nonché le connesse parti del disegno di legge di stabilità 2015 (C. 2679-</w:t>
      </w:r>
      <w:r w:rsidRPr="00683D6F">
        <w:rPr>
          <w:rFonts w:ascii="Trebuchet MS" w:eastAsia="Times New Roman" w:hAnsi="Trebuchet MS" w:cs="Times New Roman"/>
          <w:i/>
          <w:iCs/>
          <w:color w:val="666666"/>
          <w:sz w:val="20"/>
          <w:lang w:eastAsia="it-IT"/>
        </w:rPr>
        <w:t>bis</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preliminarmente che le condizioni del mercato del lavoro e dell'occupazione nel nostro Paese richiedono interventi di carattere integrato, che coniughino l'introduzione di misure ordina mentali, volte a favorire l'incontro tra domanda ed offerta di lavoro e a ridurre la frammentazione e il dualismo presenti nel mondo dell'occupazione, con un insieme coordinato di politiche industriali ed economiche tese a rilanciare il potenziale del nostro sistema produttivo e a rafforzare la domanda interna;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condivisa, in questa ottica, l'impostazione complessiva della manovra di bilancio per l'esercizio finanziario 2015 e per il triennio 2015-2017, che risponde all'esigenza, indicata anche dal Ministro dell'economia e delle finanze nella sua lettera al Vice Presidente della Commissione europea e Commissario per gli affari economici e finanziari del 27 ottobre 2014, di evitare con ogni mezzo che il 2015 sia il quarto anno consecutivo di recessione per il nostro Paese, anche considerando i rischi crescenti di deflazione per l'economia italiana;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ritenuta, pertanto, opportuna la decisione, assunta dal Governo con la Relazione al Parlamento recante la variazione alla Nota di aggiornamento del Documento di economia e finanza 2014, approvata dalla Camera il 30 ottobre 2014, con la risoluzione Speranza ed altri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6-00094, di rendere più graduale il processo di riequilibrio dei conti pubblici anche al fine di promuovere l'adozione delle riforme strutturali necessarie ad accrescere il potenziale di sviluppo del Paese;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valutate favorevolmente, in questo contesto, le disposizioni recate dall'articolo 4 del disegno di legge di stabilità, che rendono strutturale il credito d'imposta IRPEF introdotto dall'articolo 1 del decreto-legge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66 del 2014, convertito, con modificazioni, dalla legge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89 del 2014, in favore dei lavoratori dipendenti e dei percettori di taluni redditi assimilati;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la stabilizzazione del beneficio dovrebbe rafforzare il suo impatto positivo sui consumi, consolidando le aspettative delle famiglie circa i propri redditi futuri;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la stabilizzazione del </w:t>
      </w:r>
      <w:r w:rsidRPr="00683D6F">
        <w:rPr>
          <w:rFonts w:ascii="Trebuchet MS" w:eastAsia="Times New Roman" w:hAnsi="Trebuchet MS" w:cs="Times New Roman"/>
          <w:i/>
          <w:iCs/>
          <w:color w:val="666666"/>
          <w:sz w:val="20"/>
          <w:lang w:eastAsia="it-IT"/>
        </w:rPr>
        <w:t xml:space="preserve">bonus </w:t>
      </w:r>
      <w:r w:rsidRPr="00683D6F">
        <w:rPr>
          <w:rFonts w:ascii="Trebuchet MS" w:eastAsia="Times New Roman" w:hAnsi="Trebuchet MS" w:cs="Times New Roman"/>
          <w:color w:val="666666"/>
          <w:sz w:val="20"/>
          <w:szCs w:val="20"/>
          <w:lang w:eastAsia="it-IT"/>
        </w:rPr>
        <w:t xml:space="preserve">sollecita una riflessione sulla sua natura, al fine di verificare se sia opportuno il </w:t>
      </w:r>
      <w:r w:rsidRPr="00683D6F">
        <w:rPr>
          <w:rFonts w:ascii="Trebuchet MS" w:eastAsia="Times New Roman" w:hAnsi="Trebuchet MS" w:cs="Times New Roman"/>
          <w:color w:val="333333"/>
          <w:sz w:val="20"/>
          <w:szCs w:val="20"/>
          <w:lang w:eastAsia="it-IT"/>
        </w:rPr>
        <w:t>Pag. 232</w:t>
      </w:r>
      <w:r w:rsidRPr="00683D6F">
        <w:rPr>
          <w:rFonts w:ascii="Trebuchet MS" w:eastAsia="Times New Roman" w:hAnsi="Trebuchet MS" w:cs="Times New Roman"/>
          <w:color w:val="666666"/>
          <w:sz w:val="20"/>
          <w:szCs w:val="20"/>
          <w:lang w:eastAsia="it-IT"/>
        </w:rPr>
        <w:t xml:space="preserve">suo assorbimento nella struttura dell'IRPEF ovvero un suo inquadramento tra le </w:t>
      </w:r>
      <w:r w:rsidRPr="00683D6F">
        <w:rPr>
          <w:rFonts w:ascii="Trebuchet MS" w:eastAsia="Times New Roman" w:hAnsi="Trebuchet MS" w:cs="Times New Roman"/>
          <w:color w:val="666666"/>
          <w:sz w:val="20"/>
          <w:szCs w:val="20"/>
          <w:lang w:eastAsia="it-IT"/>
        </w:rPr>
        <w:lastRenderedPageBreak/>
        <w:t xml:space="preserve">misure di carattere sociale e se sia possibile estendere il </w:t>
      </w:r>
      <w:r w:rsidRPr="00683D6F">
        <w:rPr>
          <w:rFonts w:ascii="Trebuchet MS" w:eastAsia="Times New Roman" w:hAnsi="Trebuchet MS" w:cs="Times New Roman"/>
          <w:i/>
          <w:iCs/>
          <w:color w:val="666666"/>
          <w:sz w:val="20"/>
          <w:lang w:eastAsia="it-IT"/>
        </w:rPr>
        <w:t>bonus</w:t>
      </w:r>
      <w:r w:rsidRPr="00683D6F">
        <w:rPr>
          <w:rFonts w:ascii="Trebuchet MS" w:eastAsia="Times New Roman" w:hAnsi="Trebuchet MS" w:cs="Times New Roman"/>
          <w:color w:val="666666"/>
          <w:sz w:val="20"/>
          <w:szCs w:val="20"/>
          <w:lang w:eastAsia="it-IT"/>
        </w:rPr>
        <w:t xml:space="preserve"> ad altre tipologie di contribuenti nella stessa fascia di reddito;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espresso apprezzamento per i contenuti dell'articolo 5 del disegno di legge di stabilità, che rende integralmente deducibile dall'imposta regionale sulle attività produttive (IRAP) il costo sostenuto per lavoro dipendente a tempo indeterminato eccedente le vigenti deduzioni riferibili al medesimo costo, realizzando un intervento del quale la Commissione ha in più circostanze segnalato l'opportunità, da ultimo nell'ambito dell'indagine conoscitiva sui rapporti di lavoro presso i </w:t>
      </w:r>
      <w:proofErr w:type="spellStart"/>
      <w:r w:rsidRPr="00683D6F">
        <w:rPr>
          <w:rFonts w:ascii="Trebuchet MS" w:eastAsia="Times New Roman" w:hAnsi="Trebuchet MS" w:cs="Times New Roman"/>
          <w:i/>
          <w:iCs/>
          <w:color w:val="666666"/>
          <w:sz w:val="20"/>
          <w:lang w:eastAsia="it-IT"/>
        </w:rPr>
        <w:t>call</w:t>
      </w:r>
      <w:proofErr w:type="spellEnd"/>
      <w:r w:rsidRPr="00683D6F">
        <w:rPr>
          <w:rFonts w:ascii="Trebuchet MS" w:eastAsia="Times New Roman" w:hAnsi="Trebuchet MS" w:cs="Times New Roman"/>
          <w:i/>
          <w:iCs/>
          <w:color w:val="666666"/>
          <w:sz w:val="20"/>
          <w:lang w:eastAsia="it-IT"/>
        </w:rPr>
        <w:t xml:space="preserve"> center </w:t>
      </w:r>
      <w:r w:rsidRPr="00683D6F">
        <w:rPr>
          <w:rFonts w:ascii="Trebuchet MS" w:eastAsia="Times New Roman" w:hAnsi="Trebuchet MS" w:cs="Times New Roman"/>
          <w:color w:val="666666"/>
          <w:sz w:val="20"/>
          <w:szCs w:val="20"/>
          <w:lang w:eastAsia="it-IT"/>
        </w:rPr>
        <w:t xml:space="preserve">presenti sul territorio italiano;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osservato che, al fine di promuovere nell'immediato la domanda interna, l'articolo 6 del disegno di legge di stabilità dispone, in via sperimentale per il periodo 1</w:t>
      </w:r>
      <w:r w:rsidRPr="00683D6F">
        <w:rPr>
          <w:rFonts w:ascii="Trebuchet MS" w:eastAsia="Times New Roman" w:hAnsi="Trebuchet MS" w:cs="Times New Roman"/>
          <w:color w:val="666666"/>
          <w:sz w:val="20"/>
          <w:szCs w:val="20"/>
          <w:vertAlign w:val="superscript"/>
          <w:lang w:eastAsia="it-IT"/>
        </w:rPr>
        <w:t>o</w:t>
      </w:r>
      <w:r w:rsidRPr="00683D6F">
        <w:rPr>
          <w:rFonts w:ascii="Trebuchet MS" w:eastAsia="Times New Roman" w:hAnsi="Trebuchet MS" w:cs="Times New Roman"/>
          <w:color w:val="666666"/>
          <w:sz w:val="20"/>
          <w:szCs w:val="20"/>
          <w:lang w:eastAsia="it-IT"/>
        </w:rPr>
        <w:t xml:space="preserve"> marzo 2015-30 giugno 2018, l'erogazione in busta paga delle quote di trattamento di fine rapporto per i lavoratori dipendenti del settore privato;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segnalato che il medesimo articolo 6 prevede che possa essere richiesta l'erogazione anticipata anche delle quote del trattamento di fine rapporto destinate ad una forma pensionistica complementare, che allo stato rappresentano circa un quarto degli importi dei trattamenti maturati annualmente;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altresì che i commi 1, 2 e 5 dell'articolo 44 prevedono l'innalzamento dell'aliquota di tassazione sui rendimenti netti delle gestioni annuali dei fondi pensione dall'11 al 20 per cento;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le richiamate disposizioni intervengono in una difficile situazione congiunturale per la previdenza complementare, che, come evidenziato anche nella relazione per l'anno 2013 della Commissione di vigilanza sui fondi pensione, presenta ancora una limitata diffusione tra determinate categorie di lavoratori;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segnalato, altresì, che in relazione alla persistente crisi economica e del conseguente peggioramento delle condizioni occupazionali nel nostro Paese si è progressivamente incrementato, fino a raggiungere la cifra di 1,4 milioni, il numero dei lavoratori che, pur essendo iscritti a forme di previdenza complementare, non hanno proceduto al versamento dei relativi contributi;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che debba essere valutato attentamente l'effetto combinato delle richiamate disposizioni degli articoli 6 e 44 sul secondo pilastro della previdenza, che contribuisce ad integrare la prestazione pensionistica del pilastro obbligatorio;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altresì, che, pur essendo l'intervento relativo alla liquidazione anticipata del trattamento di fine rapporto di cui all'articolo 6 suscettibile di promuovere nel breve periodo i consumi delle famiglie, la sua configurazione potrebbe incentivare la richiesta di erogazione da parte dei lavoratori con redditi più bassi, che nell'immediato sono maggiormente soggetti a vincoli di liquidità, ma hanno maggiore esigenza di integrare al termine della propria vita lavorativa, i trattamenti pensionistici loro riconosciuti dal sistema previdenziale pubblico;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l'articolo 11 del disegno di legge di stabilità istituisce presso il Ministero del lavoro e delle politiche sociali un fondo con una dotazione di 2 miliardi di euro a decorrere dall'anno 2015 finalizzato a far fronte agli oneri derivanti dall'attuazione dei provvedimenti normativi di riforma degli ammortizzatori sociali, ivi inclusi gli ammortizzatori sociali in deroga, dei servizi per il lavoro e delle politiche attive, di quelli in materia di riordino dei rapporti di lavoro e dell'attività ispettiva e di tutela e conciliazione delle esigenze di cura, di vita e di lavoro, nonché per fare fronte agli oneri derivanti dall'attuazione dei provvedimenti normativi volti a favorire la stipula di contratti a tempo indeterminato a tutele crescenti, al fine di consentire la relativa riduzione di oneri diretti ed indiretti;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come esplicitato anche nella relazione illustrativa che accompagna </w:t>
      </w:r>
      <w:r w:rsidRPr="00683D6F">
        <w:rPr>
          <w:rFonts w:ascii="Trebuchet MS" w:eastAsia="Times New Roman" w:hAnsi="Trebuchet MS" w:cs="Times New Roman"/>
          <w:color w:val="333333"/>
          <w:sz w:val="20"/>
          <w:szCs w:val="20"/>
          <w:lang w:eastAsia="it-IT"/>
        </w:rPr>
        <w:t>Pag. 233</w:t>
      </w:r>
      <w:r w:rsidRPr="00683D6F">
        <w:rPr>
          <w:rFonts w:ascii="Trebuchet MS" w:eastAsia="Times New Roman" w:hAnsi="Trebuchet MS" w:cs="Times New Roman"/>
          <w:color w:val="666666"/>
          <w:sz w:val="20"/>
          <w:szCs w:val="20"/>
          <w:lang w:eastAsia="it-IT"/>
        </w:rPr>
        <w:t xml:space="preserve">il provvedimento, il fondo stanzia risorse nella prospettiva dell'attuazione della legge delega in materia di lavoro, collegata alla manovra di finanza pubblica, attualmente all'esame della Commissione;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necessario un approfondimento in ordine alla congruità delle risorse stanziate rispetto agli obiettivi perseguiti dal disegno di legge del Governo, con particolare riferimento alla universalizzazione delle tutele in caso di disoccupazione involontaria e alla riduzione degli oneri diretti e indiretti connessi alla stipula di contratti di lavoro a tempo indeterminato a tutele crescenti;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che gli stanziamenti a legislazione vigente destinati agli ammortizzatori sociali in deroga rischiano di rivelarsi insufficienti a far fronte alla difficile situazione del sistema produttivo italiano, tenuto conto dell'impegno finanziario già sostenuto nell'anno 2014;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segnalata la necessità che le risorse destinate all'universalizzazione delle tutele in caso di disoccupazione involontaria siano aggiuntive rispetto a quelle destinate negli scorsi anni al finanziamento degli ammortizzatori sociali in deroga;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osservato che l'articolo 12 introduce un esonero per un triennio dal versamento dei contributi previdenziali a carico dei datori di lavoro, entro un limite massimo di 8.060 euro annui, per i contratti di lavoro a tempo indeterminato relativi a nuove assunzioni decorrenti dal 1</w:t>
      </w:r>
      <w:r w:rsidRPr="00683D6F">
        <w:rPr>
          <w:rFonts w:ascii="Trebuchet MS" w:eastAsia="Times New Roman" w:hAnsi="Trebuchet MS" w:cs="Times New Roman"/>
          <w:color w:val="666666"/>
          <w:sz w:val="20"/>
          <w:szCs w:val="20"/>
          <w:vertAlign w:val="superscript"/>
          <w:lang w:eastAsia="it-IT"/>
        </w:rPr>
        <w:t>o</w:t>
      </w:r>
      <w:r w:rsidRPr="00683D6F">
        <w:rPr>
          <w:rFonts w:ascii="Trebuchet MS" w:eastAsia="Times New Roman" w:hAnsi="Trebuchet MS" w:cs="Times New Roman"/>
          <w:color w:val="666666"/>
          <w:sz w:val="20"/>
          <w:szCs w:val="20"/>
          <w:lang w:eastAsia="it-IT"/>
        </w:rPr>
        <w:t xml:space="preserve"> gennaio 2015 e stipulati entro il 31 dicembre 2015;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per il riconoscimento del beneficio contributivo non è richiesto che si determini, come per precedenti agevolazioni, un incremento occupazionale netto oppure che vengano escluse dal beneficio le imprese che nei sei mesi precedenti abbiano effettuato licenziamenti di natura economica;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lastRenderedPageBreak/>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che l'agevolazione può considerarsi essenzialmente una misura volta ad una temporanea riduzione del cuneo fiscale sul lavoro, tesa a favorire il ricorso al contratto di lavoro a tempo indeterminato e a ridurre le forme di lavoro più precarie;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osservato che la rilevanza dell'agevolazione potrebbe indurre le imprese a comportamenti opportunistici volti a sfruttare il beneficio della decontribuzione, provocando criticità legate alla temporaneità degli incentivi, riscontratesi diffusamente con riferimento ad altre misure previste a legislazione vigente e, in particolare, alla legge 29 dicembre 1990,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407, che la Commissione ha avuto modo di approfondire nell'ambito della propria indagine conoscitiva sui rapporti di lavoro nei </w:t>
      </w:r>
      <w:proofErr w:type="spellStart"/>
      <w:r w:rsidRPr="00683D6F">
        <w:rPr>
          <w:rFonts w:ascii="Trebuchet MS" w:eastAsia="Times New Roman" w:hAnsi="Trebuchet MS" w:cs="Times New Roman"/>
          <w:i/>
          <w:iCs/>
          <w:color w:val="666666"/>
          <w:sz w:val="20"/>
          <w:lang w:eastAsia="it-IT"/>
        </w:rPr>
        <w:t>call</w:t>
      </w:r>
      <w:proofErr w:type="spellEnd"/>
      <w:r w:rsidRPr="00683D6F">
        <w:rPr>
          <w:rFonts w:ascii="Trebuchet MS" w:eastAsia="Times New Roman" w:hAnsi="Trebuchet MS" w:cs="Times New Roman"/>
          <w:i/>
          <w:iCs/>
          <w:color w:val="666666"/>
          <w:sz w:val="20"/>
          <w:lang w:eastAsia="it-IT"/>
        </w:rPr>
        <w:t xml:space="preserve"> center </w:t>
      </w:r>
      <w:r w:rsidRPr="00683D6F">
        <w:rPr>
          <w:rFonts w:ascii="Trebuchet MS" w:eastAsia="Times New Roman" w:hAnsi="Trebuchet MS" w:cs="Times New Roman"/>
          <w:color w:val="666666"/>
          <w:sz w:val="20"/>
          <w:szCs w:val="20"/>
          <w:lang w:eastAsia="it-IT"/>
        </w:rPr>
        <w:t xml:space="preserve">presenti nel territorio italiano;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considerato che nell'allegato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5 di cui al comma 1 dell'articolo 19 del disegno di legge di stabilità si prevede, nell'ambito della riduzione di una serie di trasferimenti alle imprese, la diminuzione degli stanziamenti per la stabilizzazione dei collaboratori a progetto nel settore dei </w:t>
      </w:r>
      <w:proofErr w:type="spellStart"/>
      <w:r w:rsidRPr="00683D6F">
        <w:rPr>
          <w:rFonts w:ascii="Trebuchet MS" w:eastAsia="Times New Roman" w:hAnsi="Trebuchet MS" w:cs="Times New Roman"/>
          <w:i/>
          <w:iCs/>
          <w:color w:val="666666"/>
          <w:sz w:val="20"/>
          <w:lang w:eastAsia="it-IT"/>
        </w:rPr>
        <w:t>call</w:t>
      </w:r>
      <w:proofErr w:type="spellEnd"/>
      <w:r w:rsidRPr="00683D6F">
        <w:rPr>
          <w:rFonts w:ascii="Trebuchet MS" w:eastAsia="Times New Roman" w:hAnsi="Trebuchet MS" w:cs="Times New Roman"/>
          <w:i/>
          <w:iCs/>
          <w:color w:val="666666"/>
          <w:sz w:val="20"/>
          <w:lang w:eastAsia="it-IT"/>
        </w:rPr>
        <w:t xml:space="preserve"> center</w:t>
      </w:r>
      <w:r w:rsidRPr="00683D6F">
        <w:rPr>
          <w:rFonts w:ascii="Trebuchet MS" w:eastAsia="Times New Roman" w:hAnsi="Trebuchet MS" w:cs="Times New Roman"/>
          <w:color w:val="666666"/>
          <w:sz w:val="20"/>
          <w:szCs w:val="20"/>
          <w:lang w:eastAsia="it-IT"/>
        </w:rPr>
        <w:t xml:space="preserve"> e per le azioni positive per la realizzazione della parità tra uomo e donna;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che i risparmi di spesa derivanti da tale riduzione dei trasferimenti ammontano complessivamente a poco più di 2 milioni di euro negli anni 2015 e 2016 e a poco meno di 100 mila euro a decorrere dall'anno 2017, </w:t>
      </w:r>
      <w:proofErr w:type="spellStart"/>
      <w:r w:rsidRPr="00683D6F">
        <w:rPr>
          <w:rFonts w:ascii="Trebuchet MS" w:eastAsia="Times New Roman" w:hAnsi="Trebuchet MS" w:cs="Times New Roman"/>
          <w:color w:val="666666"/>
          <w:sz w:val="20"/>
          <w:szCs w:val="20"/>
          <w:lang w:eastAsia="it-IT"/>
        </w:rPr>
        <w:t>definanziando</w:t>
      </w:r>
      <w:proofErr w:type="spellEnd"/>
      <w:r w:rsidRPr="00683D6F">
        <w:rPr>
          <w:rFonts w:ascii="Trebuchet MS" w:eastAsia="Times New Roman" w:hAnsi="Trebuchet MS" w:cs="Times New Roman"/>
          <w:color w:val="666666"/>
          <w:sz w:val="20"/>
          <w:szCs w:val="20"/>
          <w:lang w:eastAsia="it-IT"/>
        </w:rPr>
        <w:t xml:space="preserve"> interventi di particolare rilievo sul versante della stabilizzazione dei lavoratori precari in un settore, come quello dei </w:t>
      </w:r>
      <w:proofErr w:type="spellStart"/>
      <w:r w:rsidRPr="00683D6F">
        <w:rPr>
          <w:rFonts w:ascii="Trebuchet MS" w:eastAsia="Times New Roman" w:hAnsi="Trebuchet MS" w:cs="Times New Roman"/>
          <w:i/>
          <w:iCs/>
          <w:color w:val="666666"/>
          <w:sz w:val="20"/>
          <w:lang w:eastAsia="it-IT"/>
        </w:rPr>
        <w:t>call</w:t>
      </w:r>
      <w:proofErr w:type="spellEnd"/>
      <w:r w:rsidRPr="00683D6F">
        <w:rPr>
          <w:rFonts w:ascii="Trebuchet MS" w:eastAsia="Times New Roman" w:hAnsi="Trebuchet MS" w:cs="Times New Roman"/>
          <w:i/>
          <w:iCs/>
          <w:color w:val="666666"/>
          <w:sz w:val="20"/>
          <w:lang w:eastAsia="it-IT"/>
        </w:rPr>
        <w:t xml:space="preserve"> center</w:t>
      </w:r>
      <w:r w:rsidRPr="00683D6F">
        <w:rPr>
          <w:rFonts w:ascii="Trebuchet MS" w:eastAsia="Times New Roman" w:hAnsi="Trebuchet MS" w:cs="Times New Roman"/>
          <w:color w:val="666666"/>
          <w:sz w:val="20"/>
          <w:szCs w:val="20"/>
          <w:lang w:eastAsia="it-IT"/>
        </w:rPr>
        <w:t xml:space="preserve">, caratterizzato da una particolare fragilità, nonché nell'ambito delle misure volte a promuovere le parità tra uomo e donna in campo lavorativo;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osservato che nell'allegato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6, di cui al comma 1 dell'articolo 20 del disegno di legge di stabilità, si dispone, nel quadro di una complessiva riduzione dei trasferimenti in favore di enti ed organismi pubblici, una diminuzione di 500 mila euro a decorrere dall'anno 2015 delle spese destinate al funzionamento dell'ISFOL;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segnalata l'opportunità di mantenere il finanziamento dell'ISFOL sui livelli previsti </w:t>
      </w:r>
      <w:r w:rsidRPr="00683D6F">
        <w:rPr>
          <w:rFonts w:ascii="Trebuchet MS" w:eastAsia="Times New Roman" w:hAnsi="Trebuchet MS" w:cs="Times New Roman"/>
          <w:color w:val="333333"/>
          <w:sz w:val="20"/>
          <w:szCs w:val="20"/>
          <w:lang w:eastAsia="it-IT"/>
        </w:rPr>
        <w:t>Pag. 234</w:t>
      </w:r>
      <w:r w:rsidRPr="00683D6F">
        <w:rPr>
          <w:rFonts w:ascii="Trebuchet MS" w:eastAsia="Times New Roman" w:hAnsi="Trebuchet MS" w:cs="Times New Roman"/>
          <w:color w:val="666666"/>
          <w:sz w:val="20"/>
          <w:szCs w:val="20"/>
          <w:lang w:eastAsia="it-IT"/>
        </w:rPr>
        <w:t xml:space="preserve">a legislazione vigente, anche in vista dell'attuazione del processo previsto nel disegno di legge delega in materia di lavoro all'esame della Camera, volto alla razionalizzazione degli enti strumentali e degli uffici del Ministero del lavoro e delle politiche sociali allo scopo di aumentare l'efficienza e l'efficacia dell'azione amministrativa, mediante l'utilizzo delle risorse umane, strumentali e finanziarie già disponibili a legislazione vigente;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evidenziato che l'articolo 21, comma 1, del disegno di legge di stabilità proroga fino al 31 dicembre 2015 il blocco economico della contrattazione nel pubblico impiego, in scadenza al 31 dicembre 2014, con conseguente slittamento del triennio contrattuale dal 2015-2017 al 2016-2018;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in attuazione di tale disposizione per il sesto anno consecutivo i dipendenti delle pubbliche amministrazioni non potranno accedere a rinnovi contrattuali e all'adeguamento delle proprie retribuzioni, per effetto di misure che, in virtù della loro costante riproposizione, rischiano di perdere progressivamente il carattere dell'eccezionalità;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nel rispetto degli equilibri di finanza pubblica, appare necessario quanto prima riavviare il sistema della contrattazione pubblica, anche attraverso la promozione degli istituti contrattuali che sostengano i processi di rinnovamento organizzativo e tecnologico delle amministrazioni pubbliche;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rilevata, in ogni caso, l'opportunità di dare corso alle procedure contrattuali e negoziali per il personale dipendente dalle amministrazioni pubbliche anche limitatamente alla sola parte normativa;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l'articolo 26, comma 1, del disegno di legge di stabilità, al fine di concorrere al processo di riduzione della spesa pubblica, abroga la lettera </w:t>
      </w:r>
      <w:r w:rsidRPr="00683D6F">
        <w:rPr>
          <w:rFonts w:ascii="Trebuchet MS" w:eastAsia="Times New Roman" w:hAnsi="Trebuchet MS" w:cs="Times New Roman"/>
          <w:i/>
          <w:iCs/>
          <w:color w:val="666666"/>
          <w:sz w:val="20"/>
          <w:lang w:eastAsia="it-IT"/>
        </w:rPr>
        <w:t>a)</w:t>
      </w:r>
      <w:r w:rsidRPr="00683D6F">
        <w:rPr>
          <w:rFonts w:ascii="Trebuchet MS" w:eastAsia="Times New Roman" w:hAnsi="Trebuchet MS" w:cs="Times New Roman"/>
          <w:color w:val="666666"/>
          <w:sz w:val="20"/>
          <w:szCs w:val="20"/>
          <w:lang w:eastAsia="it-IT"/>
        </w:rPr>
        <w:t xml:space="preserve"> del comma 1 dell'articolo 14 del decreto-legge 23 dicembre 2013,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145, convertito, con modificazioni, dalla legge 21 febbraio 2014,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9, che autorizza il Ministero del lavoro e delle politiche sociali ad un'integrazione della dotazione organica pari a 250 unità di personale ispettivo e a procedere progressivamente alle conseguenti assunzioni;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che, anche nella prospettiva dell'attuazione della delega legislativa concernente la razionalizzazione e la semplificazione dell'attività ispettiva, anche attraverso l'istituzione di una Agenzia unica per le ispezioni del lavoro, di cui all'articolo 1, comma 7, del disegno di legge collegato alla manovra di finanza pubblica, attualmente all'esame della Camera, assume valore strategico l'investimento sul potenziamento dell'organico degli ispettori, con l'assunzione di personale adeguatamente formato che possa supportare la gestione dei rapporti di lavoro da parte degli operatori privati non solo attraverso attività di carattere repressivo;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segnalato che l'articolo 26, comma 3, del disegno di legge di stabilità prevede che, a decorrere dal 1</w:t>
      </w:r>
      <w:r w:rsidRPr="00683D6F">
        <w:rPr>
          <w:rFonts w:ascii="Trebuchet MS" w:eastAsia="Times New Roman" w:hAnsi="Trebuchet MS" w:cs="Times New Roman"/>
          <w:color w:val="666666"/>
          <w:sz w:val="20"/>
          <w:szCs w:val="20"/>
          <w:vertAlign w:val="superscript"/>
          <w:lang w:eastAsia="it-IT"/>
        </w:rPr>
        <w:t>o</w:t>
      </w:r>
      <w:r w:rsidRPr="00683D6F">
        <w:rPr>
          <w:rFonts w:ascii="Trebuchet MS" w:eastAsia="Times New Roman" w:hAnsi="Trebuchet MS" w:cs="Times New Roman"/>
          <w:color w:val="666666"/>
          <w:sz w:val="20"/>
          <w:szCs w:val="20"/>
          <w:lang w:eastAsia="it-IT"/>
        </w:rPr>
        <w:t xml:space="preserve"> gennaio 2015, le prestazioni previdenziali erogate dall'INPS, i trattamenti pensionistici, gli assegni, le pensioni, le indennità di accompagnamento erogate agli invalidi civili e le rendite vitalizie dell'INAIL, nei confronti di beneficiari di più trattamenti, siano posti in pagamento, in assenza di cause ostative, il giorno 10 di ciascun mese;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che, anche in considerazione dei limitati effetti finanziari derivanti da tale razionalizzazione dei pagamenti dei trattamenti pensionistici, sia opportuno di anticipare le erogazioni previste nei </w:t>
      </w:r>
      <w:r w:rsidRPr="00683D6F">
        <w:rPr>
          <w:rFonts w:ascii="Trebuchet MS" w:eastAsia="Times New Roman" w:hAnsi="Trebuchet MS" w:cs="Times New Roman"/>
          <w:color w:val="666666"/>
          <w:sz w:val="20"/>
          <w:szCs w:val="20"/>
          <w:lang w:eastAsia="it-IT"/>
        </w:rPr>
        <w:lastRenderedPageBreak/>
        <w:t xml:space="preserve">confronti di beneficiari di più trattamenti al giorno 1 di ciascun mese;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l'articolo 26, comma 10, del disegno di legge di stabilità riduce di 150 milioni di euro a decorrere dall'anno 2015 gli stanziamenti per il finanziamento degli istituti di patronato e assistenza sociale;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ritenuto che l'ingente ridimensionamento delle risorse a disposizione dei patronati non solo rischia di portare a gravi conseguenze sul piano occupazionale, ma è suscettibile di indebolire in modo </w:t>
      </w:r>
      <w:r w:rsidRPr="00683D6F">
        <w:rPr>
          <w:rFonts w:ascii="Trebuchet MS" w:eastAsia="Times New Roman" w:hAnsi="Trebuchet MS" w:cs="Times New Roman"/>
          <w:color w:val="333333"/>
          <w:sz w:val="20"/>
          <w:szCs w:val="20"/>
          <w:lang w:eastAsia="it-IT"/>
        </w:rPr>
        <w:t>Pag. 235</w:t>
      </w:r>
      <w:r w:rsidRPr="00683D6F">
        <w:rPr>
          <w:rFonts w:ascii="Trebuchet MS" w:eastAsia="Times New Roman" w:hAnsi="Trebuchet MS" w:cs="Times New Roman"/>
          <w:color w:val="666666"/>
          <w:sz w:val="20"/>
          <w:szCs w:val="20"/>
          <w:lang w:eastAsia="it-IT"/>
        </w:rPr>
        <w:t xml:space="preserve">significativo il ruolo svolto da tali istituti nella tutela dei diritti in materia di prestazioni previdenziali e assistenziali, anche in considerazione della rilevanza degli interventi di contenimento della spesa ai quali è stato chiamato negli ultimi anni il sistema degli enti previdenziali, nonché degli effetti delle disposizioni della legge di stabilità 2013, che richiedono un ampliamento della copertura territoriale del servizio offerto dai patronati, senza che gli istituti possano richiedere un pagamento a quanti si avvalgono della loro attività;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evidenziato che l'articolo 26, comma 11, del disegno di legge di stabilità dispone che il Fondo per il finanziamento di sgravi contributivi per incentivare la contrattazione di secondo livello sia ridotto di 200 milioni di euro a decorrere dall'anno 2015;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considerato che tali sgravi intendono incentivare il ricorso a istituti connessi a valorizzare gli incrementi di produttività del lavoro, in linea con le raccomandazioni formulate dalle istituzioni dell'Unione europea, che sollecitano un migliore allineamento dei salari alla produttività;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che il meccanismo di decontribuzione per la contrattazione di secondo livello ha registrato negli anni un successo crescente, con domande di gran lunga superiori alle risorse disponibili a legislazione vigente;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l'articolo 45, comma 6, del disegno di legge di stabilità riduce di 150 milioni di euro annui, a decorrere dall'anno 2015, lo stanziamento relativo ai benefici previdenziali per i lavoratori impegnati in attività usuranti;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considerato che con la risoluzione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8-00086, approvata all'unanimità, la Commissione ha impegnato il Governo a valutare una riconsiderazione dei propri orientamenti in ordine alla riduzione delle risorse destinate alle finalità di cui al decreto legislativo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67 del 2011, nell'ottica di garantire la stabilità dei finanziamenti previsti a legislazione vigente, nel rispetto, comunque, dei saldi di finanza pubblica;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osservato che l'articolo 45, comma 7, dispone che l'INPS versi all'entrata del bilancio dello Stato somme pari a 20 milioni di euro per il 2015 e a 120 milioni di euro a decorrere dal 2016 a valere sulla quota delle risorse derivanti dall'aumento contributivo di cui all'articolo 25 della legge 21 dicembre 1978,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645, destinata ai fondi interprofessionali per la formazione continua;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rilevato che tale previsione configura una destinazione in via permanente all'entrata del bilancio dello Stato di risorse prelevate mediante un contributo a carico dei datori di lavoro, che si sostanzierebbe di fatto in un prelievo di carattere essenzialmente fiscale;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considerato che nella Nota integrativa al disegno di legge di bilancio per l'anno 2015 e per il triennio 2015-2017 riferita allo stato di previsione del Ministero del lavoro e delle politiche sociali si evidenzia come resti fermo l'impegno a ricercare, attraverso l'adozione di misure innovative, soluzioni di carattere strutturale per il definitivo superamento della questione degli «</w:t>
      </w:r>
      <w:proofErr w:type="spellStart"/>
      <w:r w:rsidRPr="00683D6F">
        <w:rPr>
          <w:rFonts w:ascii="Trebuchet MS" w:eastAsia="Times New Roman" w:hAnsi="Trebuchet MS" w:cs="Times New Roman"/>
          <w:color w:val="666666"/>
          <w:sz w:val="20"/>
          <w:szCs w:val="20"/>
          <w:lang w:eastAsia="it-IT"/>
        </w:rPr>
        <w:t>esodati</w:t>
      </w:r>
      <w:proofErr w:type="spellEnd"/>
      <w:r w:rsidRPr="00683D6F">
        <w:rPr>
          <w:rFonts w:ascii="Trebuchet MS" w:eastAsia="Times New Roman" w:hAnsi="Trebuchet MS" w:cs="Times New Roman"/>
          <w:color w:val="666666"/>
          <w:sz w:val="20"/>
          <w:szCs w:val="20"/>
          <w:lang w:eastAsia="it-IT"/>
        </w:rPr>
        <w:t xml:space="preserve">», segnalandosi altresì che si lavorerà per trovare un'adeguata risposta all'esigenza di rendere più flessibile l'uscita dalla vita lavorativa, anche nella prospettiva di favorire il ricambio generazionale e l'invecchiamento attivo;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ritenuto che, come già segnalato nel parere sulla Nota di aggiornamento del Documento di economia e finanza 2014, approvato il 9 ottobre 2014, rientrino tra le priorità da realizzare anche interventi volti ad accrescere la flessibilità nell'accesso al pensionamento e che sia necessario individuare, già nell'ambito della legge di stabilità 2015, soluzioni per le situazioni più critiche, nonché puntuali correttivi alla normativa vigente, quale, in particolare, la revisione della disciplina in materia di penalizzazioni per l'accesso al pensionamento e di accesso all'opzione da parte delle lavoratrici per la liquidazione del trattamento pensionistico secondo le regole del sistema contributivo;</w:t>
      </w:r>
      <w:proofErr w:type="spellStart"/>
      <w:r w:rsidRPr="00683D6F">
        <w:rPr>
          <w:rFonts w:ascii="Trebuchet MS" w:eastAsia="Times New Roman" w:hAnsi="Trebuchet MS" w:cs="Times New Roman"/>
          <w:color w:val="333333"/>
          <w:sz w:val="20"/>
          <w:szCs w:val="20"/>
          <w:lang w:eastAsia="it-IT"/>
        </w:rPr>
        <w:t>Pag</w:t>
      </w:r>
      <w:proofErr w:type="spellEnd"/>
      <w:r w:rsidRPr="00683D6F">
        <w:rPr>
          <w:rFonts w:ascii="Trebuchet MS" w:eastAsia="Times New Roman" w:hAnsi="Trebuchet MS" w:cs="Times New Roman"/>
          <w:color w:val="333333"/>
          <w:sz w:val="20"/>
          <w:szCs w:val="20"/>
          <w:lang w:eastAsia="it-IT"/>
        </w:rPr>
        <w:t>. 236</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osservato che la Presidenza della Camera ha disposto, ai sensi dell'articolo 120, comma 2, del Regolamento, lo stralcio dal disegno di stabilità dell'articolo 17, comma 11, che autorizzava a decorrere dal 2015, una spesa complessiva pari a 100 milioni di euro annui da destinare alla prosecuzione dei lavori socialmente utili nei territori di Napoli e Palermo nonché, nel limite di un milione di euro, nei comuni con meno di 50 mila abitanti;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ritenuto che sia necessario ripristinare detti stanziamenti, in ragione della necessità di assicurare la prosecuzione del finanziamento dei lavori socialmente utili previsto dalla richiamata disposizione, prevedendo quantomeno l'appostamento delle relative risorse finanziarie in vista di un loro successivo utilizzo mediante un provvedimento di rango legislativo o secondario,</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t xml:space="preserve">DELIBERA </w:t>
      </w:r>
      <w:proofErr w:type="spellStart"/>
      <w:r w:rsidRPr="00683D6F">
        <w:rPr>
          <w:rFonts w:ascii="Trebuchet MS" w:eastAsia="Times New Roman" w:hAnsi="Trebuchet MS" w:cs="Times New Roman"/>
          <w:color w:val="666666"/>
          <w:sz w:val="20"/>
          <w:szCs w:val="20"/>
          <w:lang w:eastAsia="it-IT"/>
        </w:rPr>
        <w:t>DI</w:t>
      </w:r>
      <w:proofErr w:type="spellEnd"/>
      <w:r w:rsidRPr="00683D6F">
        <w:rPr>
          <w:rFonts w:ascii="Trebuchet MS" w:eastAsia="Times New Roman" w:hAnsi="Trebuchet MS" w:cs="Times New Roman"/>
          <w:color w:val="666666"/>
          <w:sz w:val="20"/>
          <w:szCs w:val="20"/>
          <w:lang w:eastAsia="it-IT"/>
        </w:rPr>
        <w:t xml:space="preserve"> RIFERIRE FAVOREVOLMENTE</w:t>
      </w:r>
    </w:p>
    <w:p w:rsidR="00683D6F" w:rsidRPr="00683D6F" w:rsidRDefault="00683D6F" w:rsidP="00683D6F">
      <w:pPr>
        <w:shd w:val="clear" w:color="auto" w:fill="FFFFFF"/>
        <w:spacing w:before="100" w:beforeAutospacing="1" w:after="100" w:afterAutospacing="1" w:line="240" w:lineRule="auto"/>
        <w:jc w:val="center"/>
        <w:rPr>
          <w:rFonts w:ascii="Trebuchet MS" w:eastAsia="Times New Roman" w:hAnsi="Trebuchet MS" w:cs="Times New Roman"/>
          <w:color w:val="666666"/>
          <w:sz w:val="20"/>
          <w:szCs w:val="20"/>
          <w:lang w:eastAsia="it-IT"/>
        </w:rPr>
      </w:pPr>
      <w:r w:rsidRPr="00683D6F">
        <w:rPr>
          <w:rFonts w:ascii="Trebuchet MS" w:eastAsia="Times New Roman" w:hAnsi="Trebuchet MS" w:cs="Times New Roman"/>
          <w:color w:val="666666"/>
          <w:sz w:val="20"/>
          <w:szCs w:val="20"/>
          <w:lang w:eastAsia="it-IT"/>
        </w:rPr>
        <w:lastRenderedPageBreak/>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i/>
          <w:iCs/>
          <w:color w:val="666666"/>
          <w:sz w:val="20"/>
          <w:lang w:eastAsia="it-IT"/>
        </w:rPr>
        <w:t>con le seguenti condizioni:</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a)</w:t>
      </w:r>
      <w:r w:rsidRPr="00683D6F">
        <w:rPr>
          <w:rFonts w:ascii="Trebuchet MS" w:eastAsia="Times New Roman" w:hAnsi="Trebuchet MS" w:cs="Times New Roman"/>
          <w:color w:val="666666"/>
          <w:sz w:val="20"/>
          <w:szCs w:val="20"/>
          <w:lang w:eastAsia="it-IT"/>
        </w:rPr>
        <w:t xml:space="preserve"> si provveda a una generale riconsiderazione delle caratteristiche degli sgravi contributivi per le assunzioni a tempo indeterminato di cui all'articolo 12 del disegno di legge di stabilità, al fine di assicurarne la massima efficacia sotto il profilo della creazione di nuove opportunità occupazionali, anche attraverso una loro connotazione in termini strutturali, soprattutto con riferimento alle specificità delle aree svantaggiate e del Mezzogiorno e di particolari categorie di lavoratori; in questo contesto, si valuti in particolare l'opportunità di collegare l'esenzione contributiva ad un incremento occupazionale netto e, comunque, di escludere il beneficio per le imprese che abbiano effettuato licenziamenti nei sei mesi precedenti l'assunzione, in linea con quanto previsto da precedenti regimi di incentivazione, nonché di consentire comunque il riconoscimento dell'agevolazione in relazione all'assunzione di lavoratori che nei sei mesi precedenti siano stati licenziati per giustificato motivo oggettivo o per sospensione dell'attività;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b)</w:t>
      </w:r>
      <w:r w:rsidRPr="00683D6F">
        <w:rPr>
          <w:rFonts w:ascii="Trebuchet MS" w:eastAsia="Times New Roman" w:hAnsi="Trebuchet MS" w:cs="Times New Roman"/>
          <w:color w:val="666666"/>
          <w:sz w:val="20"/>
          <w:szCs w:val="20"/>
          <w:lang w:eastAsia="it-IT"/>
        </w:rPr>
        <w:t xml:space="preserve"> con riferimento al processo di razionalizzazione dei pagamenti dei trattamenti pensionistici di cui all'articolo 26, comma 3, del disegno di legge di stabilità, si anticipi dal giorno 10 al primo giorno di ciascun mese il termine per il pagamento dei trattamenti pensionistici, degli assegni, delle pensioni, delle indennità di accompagnamento erogate agli invalidi civili e delle rendite vitalizie dell'INAIL, nei confronti di beneficiari di più trattamenti;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c)</w:t>
      </w:r>
      <w:r w:rsidRPr="00683D6F">
        <w:rPr>
          <w:rFonts w:ascii="Trebuchet MS" w:eastAsia="Times New Roman" w:hAnsi="Trebuchet MS" w:cs="Times New Roman"/>
          <w:color w:val="666666"/>
          <w:sz w:val="20"/>
          <w:szCs w:val="20"/>
          <w:lang w:eastAsia="it-IT"/>
        </w:rPr>
        <w:t xml:space="preserve"> sia preservato il ruolo svolto degli istituti di patronato e assistenza sociale nella tutela dei diritti in materia di prestazioni previdenziali e assistenziali, sopprimendo la riduzione delle risorse loro spettanti operata dall'articolo 26, comma 10, del disegno di legge di stabilità;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d)</w:t>
      </w:r>
      <w:r w:rsidRPr="00683D6F">
        <w:rPr>
          <w:rFonts w:ascii="Trebuchet MS" w:eastAsia="Times New Roman" w:hAnsi="Trebuchet MS" w:cs="Times New Roman"/>
          <w:color w:val="666666"/>
          <w:sz w:val="20"/>
          <w:szCs w:val="20"/>
          <w:lang w:eastAsia="it-IT"/>
        </w:rPr>
        <w:t xml:space="preserve"> in linea con quanto previsto nella risoluzione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8-00086, approvata all'unanimità dalla Commissione, sia soppressa la riduzione degli stanziamenti destinati ai benefici previdenziali per i lavoratori impegnati in attività usuranti disposta dall'articolo 45, comma 6, del disegno di legge di stabilità, garantendo la costanza dei finanziamenti previsti a legislazione vigente per tali finalità;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e)</w:t>
      </w:r>
      <w:r w:rsidRPr="00683D6F">
        <w:rPr>
          <w:rFonts w:ascii="Trebuchet MS" w:eastAsia="Times New Roman" w:hAnsi="Trebuchet MS" w:cs="Times New Roman"/>
          <w:color w:val="666666"/>
          <w:sz w:val="20"/>
          <w:szCs w:val="20"/>
          <w:lang w:eastAsia="it-IT"/>
        </w:rPr>
        <w:t xml:space="preserve"> si provveda a consolidare e rafforzare l'impegno finanziario in favore delle politiche di tutela delle vittime dell'amianto, dei lavoratori affetti da patologie asbesto correlate, nonché di misure volte a sostenere la fuoriuscita dall'amianto, con particolare riferimento: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1) al rifinanziamento del Fondo per le vittime dell'amianto, di cui all'articolo 1, comma 241, della legge 24 dicembre 2007,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244;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 al rifinanziamento del Fondo nazionale per il risanamento degli edifici pubblici di cui all'articolo 2, comma 240, della legge 24 dicembre 2007,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244;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3) alla previsione di benefici pensionistici in favore dei lavoratori occupati nelle imprese che hanno svolto attività di </w:t>
      </w:r>
      <w:proofErr w:type="spellStart"/>
      <w:r w:rsidRPr="00683D6F">
        <w:rPr>
          <w:rFonts w:ascii="Trebuchet MS" w:eastAsia="Times New Roman" w:hAnsi="Trebuchet MS" w:cs="Times New Roman"/>
          <w:color w:val="666666"/>
          <w:sz w:val="20"/>
          <w:szCs w:val="20"/>
          <w:lang w:eastAsia="it-IT"/>
        </w:rPr>
        <w:t>decoibentazione</w:t>
      </w:r>
      <w:proofErr w:type="spellEnd"/>
      <w:r w:rsidRPr="00683D6F">
        <w:rPr>
          <w:rFonts w:ascii="Trebuchet MS" w:eastAsia="Times New Roman" w:hAnsi="Trebuchet MS" w:cs="Times New Roman"/>
          <w:color w:val="666666"/>
          <w:sz w:val="20"/>
          <w:szCs w:val="20"/>
          <w:lang w:eastAsia="it-IT"/>
        </w:rPr>
        <w:t xml:space="preserve"> e bonifica, che hanno cessato il loro rapporto di lavoro per effetto della chiusura, della dismissione o del </w:t>
      </w:r>
      <w:r w:rsidRPr="00683D6F">
        <w:rPr>
          <w:rFonts w:ascii="Trebuchet MS" w:eastAsia="Times New Roman" w:hAnsi="Trebuchet MS" w:cs="Times New Roman"/>
          <w:color w:val="333333"/>
          <w:sz w:val="20"/>
          <w:szCs w:val="20"/>
          <w:lang w:eastAsia="it-IT"/>
        </w:rPr>
        <w:t>Pag. 237</w:t>
      </w:r>
      <w:r w:rsidRPr="00683D6F">
        <w:rPr>
          <w:rFonts w:ascii="Trebuchet MS" w:eastAsia="Times New Roman" w:hAnsi="Trebuchet MS" w:cs="Times New Roman"/>
          <w:color w:val="666666"/>
          <w:sz w:val="20"/>
          <w:szCs w:val="20"/>
          <w:lang w:eastAsia="it-IT"/>
        </w:rPr>
        <w:t xml:space="preserve">fallimento dell'impresa presso cui erano occupati e siano affetti da patologie asbesto correlate;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4) all'adozione di misure che consentano il ripristino del valore delle certificazioni già rilasciate dall'INAIL ai fini del conseguimento del diritto alla prestazione previdenziale;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f)</w:t>
      </w:r>
      <w:r w:rsidRPr="00683D6F">
        <w:rPr>
          <w:rFonts w:ascii="Trebuchet MS" w:eastAsia="Times New Roman" w:hAnsi="Trebuchet MS" w:cs="Times New Roman"/>
          <w:color w:val="666666"/>
          <w:sz w:val="20"/>
          <w:szCs w:val="20"/>
          <w:lang w:eastAsia="it-IT"/>
        </w:rPr>
        <w:t xml:space="preserve"> nelle more della definizione di un intervento che individui soluzioni di carattere strutturale per il definitivo superamento della questione degli «</w:t>
      </w:r>
      <w:proofErr w:type="spellStart"/>
      <w:r w:rsidRPr="00683D6F">
        <w:rPr>
          <w:rFonts w:ascii="Trebuchet MS" w:eastAsia="Times New Roman" w:hAnsi="Trebuchet MS" w:cs="Times New Roman"/>
          <w:color w:val="666666"/>
          <w:sz w:val="20"/>
          <w:szCs w:val="20"/>
          <w:lang w:eastAsia="it-IT"/>
        </w:rPr>
        <w:t>esodati</w:t>
      </w:r>
      <w:proofErr w:type="spellEnd"/>
      <w:r w:rsidRPr="00683D6F">
        <w:rPr>
          <w:rFonts w:ascii="Trebuchet MS" w:eastAsia="Times New Roman" w:hAnsi="Trebuchet MS" w:cs="Times New Roman"/>
          <w:color w:val="666666"/>
          <w:sz w:val="20"/>
          <w:szCs w:val="20"/>
          <w:lang w:eastAsia="it-IT"/>
        </w:rPr>
        <w:t>», e assicuri un'adeguata risposta all'esigenza di rendere più flessibile l'uscita dalla vita lavorativa, in linea con quanto indicato nella Nota integrativa al disegno di legge di bilancio per l'anno 2015 e per il triennio 2015-2017 riferita allo stato di previsione del Ministero del lavoro e delle politiche sociali, si provveda già nell'ambito del disegno di legge di stabilità a superare talune criticità derivanti dall'applicazione della riforma pensionistica di cui all'articolo 24 del decreto-legge 22 dicembre 2011,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201, convertito, con modificazioni, dalla legge 22 dicembre 2011,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214, intervenendo in particolare al fine di eliminare la riduzione percentuale dei trattamenti pensionistici prevista dal medesimo articolo per i lavoratori che maturano il previsto requisito di anzianità contributiva entro il 31 dicembre 2017, prescindendo dal requisito della prestazione effettiva di lavoro;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g)</w:t>
      </w:r>
      <w:r w:rsidRPr="00683D6F">
        <w:rPr>
          <w:rFonts w:ascii="Trebuchet MS" w:eastAsia="Times New Roman" w:hAnsi="Trebuchet MS" w:cs="Times New Roman"/>
          <w:color w:val="666666"/>
          <w:sz w:val="20"/>
          <w:szCs w:val="20"/>
          <w:lang w:eastAsia="it-IT"/>
        </w:rPr>
        <w:t xml:space="preserve"> si provveda a rifinanziare, nel triennio 2015-2017, il Fondo di sostegno per le vittime di gravi infortuni sul lavoro, di cui all'articolo 1, comma 1187, della legge 27 dicembre 2006,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296, anche in considerazione delle consistenti riduzioni degli stanziamenti di bilancio apportate negli ultimi anni nell'ambito del generale processo di contenimento della spesa pubblica;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e con le seguenti osservazioni:</w:t>
      </w:r>
      <w:r w:rsidRPr="00683D6F">
        <w:rPr>
          <w:rFonts w:ascii="Trebuchet MS" w:eastAsia="Times New Roman" w:hAnsi="Trebuchet MS" w:cs="Times New Roman"/>
          <w:color w:val="666666"/>
          <w:sz w:val="20"/>
          <w:szCs w:val="20"/>
          <w:lang w:eastAsia="it-IT"/>
        </w:rPr>
        <w:t xml:space="preserve">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a)</w:t>
      </w:r>
      <w:r w:rsidRPr="00683D6F">
        <w:rPr>
          <w:rFonts w:ascii="Trebuchet MS" w:eastAsia="Times New Roman" w:hAnsi="Trebuchet MS" w:cs="Times New Roman"/>
          <w:color w:val="666666"/>
          <w:sz w:val="20"/>
          <w:szCs w:val="20"/>
          <w:lang w:eastAsia="it-IT"/>
        </w:rPr>
        <w:t xml:space="preserve"> in considerazione del valore strategico degli investimenti relativi al potenziamento dell'organico degli ispettori e all'assunzione di personale adeguatamente formato, si valuti l'opportunità con riferimento all'articolo 26, comma 1, del disegno di legge di stabilità di soprassedere alla soppressione dell'articolo 14, comma 1, lettera </w:t>
      </w:r>
      <w:r w:rsidRPr="00683D6F">
        <w:rPr>
          <w:rFonts w:ascii="Trebuchet MS" w:eastAsia="Times New Roman" w:hAnsi="Trebuchet MS" w:cs="Times New Roman"/>
          <w:i/>
          <w:iCs/>
          <w:color w:val="666666"/>
          <w:sz w:val="20"/>
          <w:lang w:eastAsia="it-IT"/>
        </w:rPr>
        <w:t>a)</w:t>
      </w:r>
      <w:r w:rsidRPr="00683D6F">
        <w:rPr>
          <w:rFonts w:ascii="Trebuchet MS" w:eastAsia="Times New Roman" w:hAnsi="Trebuchet MS" w:cs="Times New Roman"/>
          <w:color w:val="666666"/>
          <w:sz w:val="20"/>
          <w:szCs w:val="20"/>
          <w:lang w:eastAsia="it-IT"/>
        </w:rPr>
        <w:t>, del decreto-legge 23 dicembre 2013,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145, convertito, con modificazioni, dalla legge 21 febbraio 2014,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9, anche in vista dell'attuazione della delega di cui all'articolo 1, comma 7, del disegno di legge in materia di lavoro, collegato alla manovra di finanza pubblica, attualmente all'esame della Camera;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b)</w:t>
      </w:r>
      <w:r w:rsidRPr="00683D6F">
        <w:rPr>
          <w:rFonts w:ascii="Trebuchet MS" w:eastAsia="Times New Roman" w:hAnsi="Trebuchet MS" w:cs="Times New Roman"/>
          <w:color w:val="666666"/>
          <w:sz w:val="20"/>
          <w:szCs w:val="20"/>
          <w:lang w:eastAsia="it-IT"/>
        </w:rPr>
        <w:t xml:space="preserve"> considerato il ruolo svolto dalla contrattazione di secondo livello nella promozione dell'allineamento dei salari alla produttività del lavoro, sia valutata l'opportunità di ridimensionare o sopprimere la riduzione del Fondo per il finanziamento di sgravi contributivi per incentivare la </w:t>
      </w:r>
      <w:r w:rsidRPr="00683D6F">
        <w:rPr>
          <w:rFonts w:ascii="Trebuchet MS" w:eastAsia="Times New Roman" w:hAnsi="Trebuchet MS" w:cs="Times New Roman"/>
          <w:color w:val="666666"/>
          <w:sz w:val="20"/>
          <w:szCs w:val="20"/>
          <w:lang w:eastAsia="it-IT"/>
        </w:rPr>
        <w:lastRenderedPageBreak/>
        <w:t xml:space="preserve">contrattazione di secondo livello, di cui all'articolo 26, comma 11, del disegno di legge di stabilità;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c)</w:t>
      </w:r>
      <w:r w:rsidRPr="00683D6F">
        <w:rPr>
          <w:rFonts w:ascii="Trebuchet MS" w:eastAsia="Times New Roman" w:hAnsi="Trebuchet MS" w:cs="Times New Roman"/>
          <w:color w:val="666666"/>
          <w:sz w:val="20"/>
          <w:szCs w:val="20"/>
          <w:lang w:eastAsia="it-IT"/>
        </w:rPr>
        <w:t xml:space="preserve"> si valuti l'opportunità di sopprimere l'articolo 45, comma 7, del disegno di legge di stabilità, ripristinando la destinazione delle risorse derivanti dall'aumento contributivo di cui all'articolo 25 della legge 21 dicembre 1978,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 xml:space="preserve">845, ai fondi interprofessionali per la formazione continua; </w:t>
      </w:r>
      <w:r w:rsidRPr="00683D6F">
        <w:rPr>
          <w:rFonts w:ascii="Trebuchet MS" w:eastAsia="Times New Roman" w:hAnsi="Trebuchet MS" w:cs="Times New Roman"/>
          <w:color w:val="666666"/>
          <w:sz w:val="20"/>
          <w:szCs w:val="20"/>
          <w:lang w:eastAsia="it-IT"/>
        </w:rPr>
        <w:br/>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 </w:t>
      </w:r>
      <w:r w:rsidRPr="00683D6F">
        <w:rPr>
          <w:rFonts w:ascii="Trebuchet MS" w:eastAsia="Times New Roman" w:hAnsi="Trebuchet MS" w:cs="Times New Roman"/>
          <w:i/>
          <w:iCs/>
          <w:color w:val="666666"/>
          <w:sz w:val="20"/>
          <w:lang w:eastAsia="it-IT"/>
        </w:rPr>
        <w:t>d)</w:t>
      </w:r>
      <w:r w:rsidRPr="00683D6F">
        <w:rPr>
          <w:rFonts w:ascii="Trebuchet MS" w:eastAsia="Times New Roman" w:hAnsi="Trebuchet MS" w:cs="Times New Roman"/>
          <w:color w:val="666666"/>
          <w:sz w:val="20"/>
          <w:szCs w:val="20"/>
          <w:lang w:eastAsia="it-IT"/>
        </w:rPr>
        <w:t xml:space="preserve"> si valuti l'opportunità di confermare anche per l'anno 2015 il blocco dell'incremento delle aliquote di contribuzione previdenziale per i lavoratori autonomi, titolari di posizione fiscale ai fini dell'imposta sul valore aggiunto, iscritti alla gestione separata di cui all'articolo 2, comma 26, della legge 8 agosto 1995, n.</w:t>
      </w:r>
      <w:r w:rsidRPr="00683D6F">
        <w:rPr>
          <w:rFonts w:ascii="Trebuchet MS" w:eastAsia="Times New Roman" w:hAnsi="Trebuchet MS" w:cs="Times New Roman"/>
          <w:color w:val="666666"/>
          <w:sz w:val="20"/>
          <w:szCs w:val="20"/>
          <w:lang w:eastAsia="it-IT"/>
        </w:rPr>
        <w:t> </w:t>
      </w:r>
      <w:r w:rsidRPr="00683D6F">
        <w:rPr>
          <w:rFonts w:ascii="Trebuchet MS" w:eastAsia="Times New Roman" w:hAnsi="Trebuchet MS" w:cs="Times New Roman"/>
          <w:color w:val="666666"/>
          <w:sz w:val="20"/>
          <w:szCs w:val="20"/>
          <w:lang w:eastAsia="it-IT"/>
        </w:rPr>
        <w:t>335, che non risultino iscritti ad altre gestioni di previdenza obbligatoria né pensionati, nonché di rafforzare le tutele in caso di malattia di tali lavoratori, anche attraverso misure volte a consentire la sospensione dei versamenti fiscali e contributivi durante i periodi di grave e prolungata malattia.</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83D6F"/>
    <w:rsid w:val="002472D8"/>
    <w:rsid w:val="00683D6F"/>
    <w:rsid w:val="00D17DEC"/>
    <w:rsid w:val="00E26E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83D6F"/>
    <w:rPr>
      <w:b/>
      <w:bCs/>
    </w:rPr>
  </w:style>
  <w:style w:type="paragraph" w:styleId="NormaleWeb">
    <w:name w:val="Normal (Web)"/>
    <w:basedOn w:val="Normale"/>
    <w:uiPriority w:val="99"/>
    <w:semiHidden/>
    <w:unhideWhenUsed/>
    <w:rsid w:val="00683D6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de">
    <w:name w:val="sede"/>
    <w:basedOn w:val="Normale"/>
    <w:rsid w:val="00683D6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
    <w:name w:val="titolo"/>
    <w:basedOn w:val="Normale"/>
    <w:rsid w:val="00683D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83D6F"/>
    <w:rPr>
      <w:i/>
      <w:iCs/>
    </w:rPr>
  </w:style>
  <w:style w:type="paragraph" w:customStyle="1" w:styleId="center">
    <w:name w:val="center"/>
    <w:basedOn w:val="Normale"/>
    <w:rsid w:val="00683D6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47022335">
      <w:bodyDiv w:val="1"/>
      <w:marLeft w:val="0"/>
      <w:marRight w:val="0"/>
      <w:marTop w:val="0"/>
      <w:marBottom w:val="0"/>
      <w:divBdr>
        <w:top w:val="none" w:sz="0" w:space="0" w:color="auto"/>
        <w:left w:val="none" w:sz="0" w:space="0" w:color="auto"/>
        <w:bottom w:val="none" w:sz="0" w:space="0" w:color="auto"/>
        <w:right w:val="none" w:sz="0" w:space="0" w:color="auto"/>
      </w:divBdr>
      <w:divsChild>
        <w:div w:id="379087152">
          <w:marLeft w:val="0"/>
          <w:marRight w:val="0"/>
          <w:marTop w:val="0"/>
          <w:marBottom w:val="150"/>
          <w:divBdr>
            <w:top w:val="single" w:sz="6" w:space="0" w:color="CCCCCC"/>
            <w:left w:val="single" w:sz="6" w:space="0" w:color="CCCCCC"/>
            <w:bottom w:val="single" w:sz="6" w:space="0" w:color="CCCCCC"/>
            <w:right w:val="single" w:sz="6" w:space="0" w:color="CCCCCC"/>
          </w:divBdr>
          <w:divsChild>
            <w:div w:id="802775287">
              <w:marLeft w:val="150"/>
              <w:marRight w:val="150"/>
              <w:marTop w:val="0"/>
              <w:marBottom w:val="0"/>
              <w:divBdr>
                <w:top w:val="none" w:sz="0" w:space="0" w:color="auto"/>
                <w:left w:val="none" w:sz="0" w:space="0" w:color="auto"/>
                <w:bottom w:val="none" w:sz="0" w:space="0" w:color="auto"/>
                <w:right w:val="none" w:sz="0" w:space="0" w:color="auto"/>
              </w:divBdr>
              <w:divsChild>
                <w:div w:id="9963004">
                  <w:marLeft w:val="0"/>
                  <w:marRight w:val="0"/>
                  <w:marTop w:val="0"/>
                  <w:marBottom w:val="0"/>
                  <w:divBdr>
                    <w:top w:val="none" w:sz="0" w:space="0" w:color="auto"/>
                    <w:left w:val="none" w:sz="0" w:space="0" w:color="auto"/>
                    <w:bottom w:val="none" w:sz="0" w:space="0" w:color="auto"/>
                    <w:right w:val="none" w:sz="0" w:space="0" w:color="auto"/>
                  </w:divBdr>
                  <w:divsChild>
                    <w:div w:id="1554465093">
                      <w:marLeft w:val="0"/>
                      <w:marRight w:val="0"/>
                      <w:marTop w:val="0"/>
                      <w:marBottom w:val="0"/>
                      <w:divBdr>
                        <w:top w:val="none" w:sz="0" w:space="0" w:color="auto"/>
                        <w:left w:val="none" w:sz="0" w:space="0" w:color="auto"/>
                        <w:bottom w:val="none" w:sz="0" w:space="0" w:color="auto"/>
                        <w:right w:val="none" w:sz="0" w:space="0" w:color="auto"/>
                      </w:divBdr>
                      <w:divsChild>
                        <w:div w:id="1766996983">
                          <w:marLeft w:val="0"/>
                          <w:marRight w:val="0"/>
                          <w:marTop w:val="0"/>
                          <w:marBottom w:val="0"/>
                          <w:divBdr>
                            <w:top w:val="none" w:sz="0" w:space="0" w:color="auto"/>
                            <w:left w:val="none" w:sz="0" w:space="0" w:color="auto"/>
                            <w:bottom w:val="none" w:sz="0" w:space="0" w:color="auto"/>
                            <w:right w:val="none" w:sz="0" w:space="0" w:color="auto"/>
                          </w:divBdr>
                          <w:divsChild>
                            <w:div w:id="1902787045">
                              <w:marLeft w:val="0"/>
                              <w:marRight w:val="0"/>
                              <w:marTop w:val="0"/>
                              <w:marBottom w:val="0"/>
                              <w:divBdr>
                                <w:top w:val="none" w:sz="0" w:space="0" w:color="auto"/>
                                <w:left w:val="none" w:sz="0" w:space="0" w:color="auto"/>
                                <w:bottom w:val="none" w:sz="0" w:space="0" w:color="auto"/>
                                <w:right w:val="none" w:sz="0" w:space="0" w:color="auto"/>
                              </w:divBdr>
                            </w:div>
                            <w:div w:id="388458827">
                              <w:marLeft w:val="0"/>
                              <w:marRight w:val="0"/>
                              <w:marTop w:val="0"/>
                              <w:marBottom w:val="0"/>
                              <w:divBdr>
                                <w:top w:val="none" w:sz="0" w:space="0" w:color="auto"/>
                                <w:left w:val="none" w:sz="0" w:space="0" w:color="auto"/>
                                <w:bottom w:val="none" w:sz="0" w:space="0" w:color="auto"/>
                                <w:right w:val="none" w:sz="0" w:space="0" w:color="auto"/>
                              </w:divBdr>
                            </w:div>
                            <w:div w:id="206066199">
                              <w:marLeft w:val="0"/>
                              <w:marRight w:val="0"/>
                              <w:marTop w:val="0"/>
                              <w:marBottom w:val="0"/>
                              <w:divBdr>
                                <w:top w:val="none" w:sz="0" w:space="0" w:color="auto"/>
                                <w:left w:val="none" w:sz="0" w:space="0" w:color="auto"/>
                                <w:bottom w:val="none" w:sz="0" w:space="0" w:color="auto"/>
                                <w:right w:val="none" w:sz="0" w:space="0" w:color="auto"/>
                              </w:divBdr>
                            </w:div>
                            <w:div w:id="1746489730">
                              <w:marLeft w:val="0"/>
                              <w:marRight w:val="0"/>
                              <w:marTop w:val="0"/>
                              <w:marBottom w:val="0"/>
                              <w:divBdr>
                                <w:top w:val="none" w:sz="0" w:space="0" w:color="auto"/>
                                <w:left w:val="none" w:sz="0" w:space="0" w:color="auto"/>
                                <w:bottom w:val="none" w:sz="0" w:space="0" w:color="auto"/>
                                <w:right w:val="none" w:sz="0" w:space="0" w:color="auto"/>
                              </w:divBdr>
                            </w:div>
                            <w:div w:id="411124043">
                              <w:marLeft w:val="0"/>
                              <w:marRight w:val="0"/>
                              <w:marTop w:val="0"/>
                              <w:marBottom w:val="0"/>
                              <w:divBdr>
                                <w:top w:val="none" w:sz="0" w:space="0" w:color="auto"/>
                                <w:left w:val="none" w:sz="0" w:space="0" w:color="auto"/>
                                <w:bottom w:val="none" w:sz="0" w:space="0" w:color="auto"/>
                                <w:right w:val="none" w:sz="0" w:space="0" w:color="auto"/>
                              </w:divBdr>
                            </w:div>
                            <w:div w:id="85853984">
                              <w:marLeft w:val="0"/>
                              <w:marRight w:val="0"/>
                              <w:marTop w:val="0"/>
                              <w:marBottom w:val="0"/>
                              <w:divBdr>
                                <w:top w:val="none" w:sz="0" w:space="0" w:color="auto"/>
                                <w:left w:val="none" w:sz="0" w:space="0" w:color="auto"/>
                                <w:bottom w:val="none" w:sz="0" w:space="0" w:color="auto"/>
                                <w:right w:val="none" w:sz="0" w:space="0" w:color="auto"/>
                              </w:divBdr>
                            </w:div>
                            <w:div w:id="1787507438">
                              <w:marLeft w:val="0"/>
                              <w:marRight w:val="0"/>
                              <w:marTop w:val="0"/>
                              <w:marBottom w:val="0"/>
                              <w:divBdr>
                                <w:top w:val="none" w:sz="0" w:space="0" w:color="auto"/>
                                <w:left w:val="none" w:sz="0" w:space="0" w:color="auto"/>
                                <w:bottom w:val="none" w:sz="0" w:space="0" w:color="auto"/>
                                <w:right w:val="none" w:sz="0" w:space="0" w:color="auto"/>
                              </w:divBdr>
                            </w:div>
                          </w:divsChild>
                        </w:div>
                        <w:div w:id="2034838964">
                          <w:marLeft w:val="0"/>
                          <w:marRight w:val="0"/>
                          <w:marTop w:val="0"/>
                          <w:marBottom w:val="0"/>
                          <w:divBdr>
                            <w:top w:val="none" w:sz="0" w:space="0" w:color="auto"/>
                            <w:left w:val="none" w:sz="0" w:space="0" w:color="auto"/>
                            <w:bottom w:val="none" w:sz="0" w:space="0" w:color="auto"/>
                            <w:right w:val="none" w:sz="0" w:space="0" w:color="auto"/>
                          </w:divBdr>
                          <w:divsChild>
                            <w:div w:id="430860512">
                              <w:marLeft w:val="0"/>
                              <w:marRight w:val="0"/>
                              <w:marTop w:val="0"/>
                              <w:marBottom w:val="0"/>
                              <w:divBdr>
                                <w:top w:val="none" w:sz="0" w:space="0" w:color="auto"/>
                                <w:left w:val="none" w:sz="0" w:space="0" w:color="auto"/>
                                <w:bottom w:val="none" w:sz="0" w:space="0" w:color="auto"/>
                                <w:right w:val="none" w:sz="0" w:space="0" w:color="auto"/>
                              </w:divBdr>
                            </w:div>
                            <w:div w:id="1525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4820</Words>
  <Characters>27478</Characters>
  <Application>Microsoft Office Word</Application>
  <DocSecurity>0</DocSecurity>
  <Lines>228</Lines>
  <Paragraphs>64</Paragraphs>
  <ScaleCrop>false</ScaleCrop>
  <Company/>
  <LinksUpToDate>false</LinksUpToDate>
  <CharactersWithSpaces>32234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2014-11-07T11:42:00Z</dcterms:created>
  <dcterms:modified xsi:type="dcterms:W3CDTF">2014-11-07T11:43:00Z</dcterms:modified>
</cp:coreProperties>
</file>