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EC" w:rsidRDefault="00CE41F0">
      <w:r>
        <w:rPr>
          <w:rFonts w:ascii="Arial" w:hAnsi="Arial" w:cs="Arial"/>
          <w:color w:val="000000"/>
          <w:sz w:val="13"/>
          <w:szCs w:val="13"/>
          <w:shd w:val="clear" w:color="auto" w:fill="FFFFFF"/>
        </w:rPr>
        <w:t>  </w:t>
      </w:r>
      <w:hyperlink r:id="rId4" w:tooltip="Vai alla scheda personale: GNECCHI Marialuisa" w:history="1">
        <w:r>
          <w:rPr>
            <w:rStyle w:val="Collegamentoipertestuale"/>
            <w:rFonts w:ascii="Trebuchet MS" w:hAnsi="Trebuchet MS"/>
            <w:color w:val="234E96"/>
            <w:sz w:val="13"/>
            <w:szCs w:val="13"/>
            <w:u w:val="none"/>
            <w:shd w:val="clear" w:color="auto" w:fill="FFFFFF"/>
          </w:rPr>
          <w:t>GNECCHI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5" w:tooltip="Vai alla scheda personale: DAMIANO Cesare" w:history="1">
        <w:r>
          <w:rPr>
            <w:rStyle w:val="Collegamentoipertestuale"/>
            <w:rFonts w:ascii="Trebuchet MS" w:hAnsi="Trebuchet MS"/>
            <w:color w:val="234E96"/>
            <w:sz w:val="13"/>
            <w:szCs w:val="13"/>
            <w:u w:val="none"/>
            <w:shd w:val="clear" w:color="auto" w:fill="FFFFFF"/>
          </w:rPr>
          <w:t>DAMIANO</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6" w:tooltip="Vai alla scheda personale: ALBANELLA Luisella" w:history="1">
        <w:r>
          <w:rPr>
            <w:rStyle w:val="Collegamentoipertestuale"/>
            <w:rFonts w:ascii="Trebuchet MS" w:hAnsi="Trebuchet MS"/>
            <w:color w:val="234E96"/>
            <w:sz w:val="13"/>
            <w:szCs w:val="13"/>
            <w:u w:val="none"/>
            <w:shd w:val="clear" w:color="auto" w:fill="FFFFFF"/>
          </w:rPr>
          <w:t>ALBANELLA</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7" w:tooltip="Vai alla scheda personale: ARLOTTI Tiziano" w:history="1">
        <w:r>
          <w:rPr>
            <w:rStyle w:val="Collegamentoipertestuale"/>
            <w:rFonts w:ascii="Trebuchet MS" w:hAnsi="Trebuchet MS"/>
            <w:color w:val="234E96"/>
            <w:sz w:val="13"/>
            <w:szCs w:val="13"/>
            <w:u w:val="none"/>
            <w:shd w:val="clear" w:color="auto" w:fill="FFFFFF"/>
          </w:rPr>
          <w:t>ARLOTTI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8" w:tooltip="Vai alla scheda personale: BARUFFI Davide" w:history="1">
        <w:r>
          <w:rPr>
            <w:rStyle w:val="Collegamentoipertestuale"/>
            <w:rFonts w:ascii="Trebuchet MS" w:hAnsi="Trebuchet MS"/>
            <w:color w:val="234E96"/>
            <w:sz w:val="13"/>
            <w:szCs w:val="13"/>
            <w:u w:val="none"/>
            <w:shd w:val="clear" w:color="auto" w:fill="FFFFFF"/>
          </w:rPr>
          <w:t>BARUFFI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9" w:tooltip="Vai alla scheda personale: BOCCUZZI Antonio" w:history="1">
        <w:r>
          <w:rPr>
            <w:rStyle w:val="Collegamentoipertestuale"/>
            <w:rFonts w:ascii="Trebuchet MS" w:hAnsi="Trebuchet MS"/>
            <w:color w:val="234E96"/>
            <w:sz w:val="13"/>
            <w:szCs w:val="13"/>
            <w:u w:val="none"/>
            <w:shd w:val="clear" w:color="auto" w:fill="FFFFFF"/>
          </w:rPr>
          <w:t>BOCCUZZI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0" w:tooltip="Vai alla scheda personale: CASELLATO Floriana" w:history="1">
        <w:r>
          <w:rPr>
            <w:rStyle w:val="Collegamentoipertestuale"/>
            <w:rFonts w:ascii="Trebuchet MS" w:hAnsi="Trebuchet MS"/>
            <w:color w:val="234E96"/>
            <w:sz w:val="13"/>
            <w:szCs w:val="13"/>
            <w:u w:val="none"/>
            <w:shd w:val="clear" w:color="auto" w:fill="FFFFFF"/>
          </w:rPr>
          <w:t>CASELLATO</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1" w:tooltip="Vai alla scheda personale: DI SALVO Titti" w:history="1">
        <w:r>
          <w:rPr>
            <w:rStyle w:val="Collegamentoipertestuale"/>
            <w:rFonts w:ascii="Trebuchet MS" w:hAnsi="Trebuchet MS"/>
            <w:color w:val="234E96"/>
            <w:sz w:val="13"/>
            <w:szCs w:val="13"/>
            <w:u w:val="none"/>
            <w:shd w:val="clear" w:color="auto" w:fill="FFFFFF"/>
          </w:rPr>
          <w:t>DI SALVO</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2" w:tooltip="Vai alla scheda personale: FONTANA Cinzia Maria" w:history="1">
        <w:r>
          <w:rPr>
            <w:rStyle w:val="Collegamentoipertestuale"/>
            <w:rFonts w:ascii="Trebuchet MS" w:hAnsi="Trebuchet MS"/>
            <w:color w:val="234E96"/>
            <w:sz w:val="13"/>
            <w:szCs w:val="13"/>
            <w:u w:val="none"/>
            <w:shd w:val="clear" w:color="auto" w:fill="FFFFFF"/>
          </w:rPr>
          <w:t>CINZIA MARIA FONTANA</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3" w:tooltip="Vai alla scheda personale: GIACOBBE Anna" w:history="1">
        <w:r>
          <w:rPr>
            <w:rStyle w:val="Collegamentoipertestuale"/>
            <w:rFonts w:ascii="Trebuchet MS" w:hAnsi="Trebuchet MS"/>
            <w:color w:val="234E96"/>
            <w:sz w:val="13"/>
            <w:szCs w:val="13"/>
            <w:u w:val="none"/>
            <w:shd w:val="clear" w:color="auto" w:fill="FFFFFF"/>
          </w:rPr>
          <w:t>GIACOBBE</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4" w:tooltip="Vai alla scheda personale: GRIBAUDO Chiara" w:history="1">
        <w:r>
          <w:rPr>
            <w:rStyle w:val="Collegamentoipertestuale"/>
            <w:rFonts w:ascii="Trebuchet MS" w:hAnsi="Trebuchet MS"/>
            <w:color w:val="234E96"/>
            <w:sz w:val="13"/>
            <w:szCs w:val="13"/>
            <w:u w:val="none"/>
            <w:shd w:val="clear" w:color="auto" w:fill="FFFFFF"/>
          </w:rPr>
          <w:t>GRIBAUDO</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5" w:tooltip="Vai alla scheda personale: INCERTI Antonella" w:history="1">
        <w:r>
          <w:rPr>
            <w:rStyle w:val="Collegamentoipertestuale"/>
            <w:rFonts w:ascii="Trebuchet MS" w:hAnsi="Trebuchet MS"/>
            <w:color w:val="234E96"/>
            <w:sz w:val="13"/>
            <w:szCs w:val="13"/>
            <w:u w:val="none"/>
            <w:shd w:val="clear" w:color="auto" w:fill="FFFFFF"/>
          </w:rPr>
          <w:t>INCERTI</w:t>
        </w:r>
      </w:hyperlink>
      <w:r>
        <w:rPr>
          <w:rFonts w:ascii="Trebuchet MS" w:hAnsi="Trebuchet MS"/>
          <w:color w:val="000000"/>
          <w:sz w:val="13"/>
          <w:szCs w:val="13"/>
          <w:shd w:val="clear" w:color="auto" w:fill="FFFFFF"/>
        </w:rPr>
        <w:t>,</w:t>
      </w:r>
      <w:hyperlink r:id="rId16" w:tooltip="Vai alla scheda personale: MAESTRI Patrizia" w:history="1">
        <w:r>
          <w:rPr>
            <w:rStyle w:val="Collegamentoipertestuale"/>
            <w:rFonts w:ascii="Trebuchet MS" w:hAnsi="Trebuchet MS"/>
            <w:color w:val="234E96"/>
            <w:sz w:val="13"/>
            <w:szCs w:val="13"/>
            <w:u w:val="none"/>
            <w:shd w:val="clear" w:color="auto" w:fill="FFFFFF"/>
          </w:rPr>
          <w:t>PATRIZIA MAESTRI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7" w:tooltip="Vai alla scheda personale: MICCOLI Marco" w:history="1">
        <w:r>
          <w:rPr>
            <w:rStyle w:val="Collegamentoipertestuale"/>
            <w:rFonts w:ascii="Trebuchet MS" w:hAnsi="Trebuchet MS"/>
            <w:color w:val="234E96"/>
            <w:sz w:val="13"/>
            <w:szCs w:val="13"/>
            <w:u w:val="none"/>
            <w:shd w:val="clear" w:color="auto" w:fill="FFFFFF"/>
          </w:rPr>
          <w:t>MICCOLI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8" w:tooltip="Vai alla scheda personale: PARIS Valentina" w:history="1">
        <w:r>
          <w:rPr>
            <w:rStyle w:val="Collegamentoipertestuale"/>
            <w:rFonts w:ascii="Trebuchet MS" w:hAnsi="Trebuchet MS"/>
            <w:color w:val="234E96"/>
            <w:sz w:val="13"/>
            <w:szCs w:val="13"/>
            <w:u w:val="none"/>
            <w:shd w:val="clear" w:color="auto" w:fill="FFFFFF"/>
          </w:rPr>
          <w:t>PARIS</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19" w:tooltip="Vai alla scheda personale: PICCOLO Giorgio" w:history="1">
        <w:r>
          <w:rPr>
            <w:rStyle w:val="Collegamentoipertestuale"/>
            <w:rFonts w:ascii="Trebuchet MS" w:hAnsi="Trebuchet MS"/>
            <w:color w:val="234E96"/>
            <w:sz w:val="13"/>
            <w:szCs w:val="13"/>
            <w:u w:val="none"/>
            <w:shd w:val="clear" w:color="auto" w:fill="FFFFFF"/>
          </w:rPr>
          <w:t>GIORGIO PICCOLO</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20" w:tooltip="Vai alla scheda personale: ROSTELLATO Gessica" w:history="1">
        <w:r>
          <w:rPr>
            <w:rStyle w:val="Collegamentoipertestuale"/>
            <w:rFonts w:ascii="Trebuchet MS" w:hAnsi="Trebuchet MS"/>
            <w:color w:val="234E96"/>
            <w:sz w:val="13"/>
            <w:szCs w:val="13"/>
            <w:u w:val="none"/>
            <w:shd w:val="clear" w:color="auto" w:fill="FFFFFF"/>
          </w:rPr>
          <w:t>ROSTELLATO</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21" w:tooltip="Vai alla scheda personale: ROTTA Alessia" w:history="1">
        <w:r>
          <w:rPr>
            <w:rStyle w:val="Collegamentoipertestuale"/>
            <w:rFonts w:ascii="Trebuchet MS" w:hAnsi="Trebuchet MS"/>
            <w:color w:val="234E96"/>
            <w:sz w:val="13"/>
            <w:szCs w:val="13"/>
            <w:u w:val="none"/>
            <w:shd w:val="clear" w:color="auto" w:fill="FFFFFF"/>
          </w:rPr>
          <w:t>ROTTA</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22" w:tooltip="Vai alla scheda personale: SIMONI Elisa" w:history="1">
        <w:r>
          <w:rPr>
            <w:rStyle w:val="Collegamentoipertestuale"/>
            <w:rFonts w:ascii="Trebuchet MS" w:hAnsi="Trebuchet MS"/>
            <w:color w:val="234E96"/>
            <w:sz w:val="13"/>
            <w:szCs w:val="13"/>
            <w:u w:val="none"/>
            <w:shd w:val="clear" w:color="auto" w:fill="FFFFFF"/>
          </w:rPr>
          <w:t>SIMONI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23" w:tooltip="Vai alla scheda personale: TINAGLI Irene" w:history="1">
        <w:r>
          <w:rPr>
            <w:rStyle w:val="Collegamentoipertestuale"/>
            <w:rFonts w:ascii="Trebuchet MS" w:hAnsi="Trebuchet MS"/>
            <w:color w:val="234E96"/>
            <w:sz w:val="13"/>
            <w:szCs w:val="13"/>
            <w:u w:val="none"/>
            <w:shd w:val="clear" w:color="auto" w:fill="FFFFFF"/>
          </w:rPr>
          <w:t>TINAGLI</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24" w:tooltip="Vai alla scheda personale: ZAPPULLA Giuseppe" w:history="1">
        <w:r>
          <w:rPr>
            <w:rStyle w:val="Collegamentoipertestuale"/>
            <w:rFonts w:ascii="Trebuchet MS" w:hAnsi="Trebuchet MS"/>
            <w:color w:val="234E96"/>
            <w:sz w:val="13"/>
            <w:szCs w:val="13"/>
            <w:u w:val="none"/>
            <w:shd w:val="clear" w:color="auto" w:fill="FFFFFF"/>
          </w:rPr>
          <w:t>ZAPPULLA</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25" w:tooltip="Vai alla scheda personale: MARTELLA Andrea" w:history="1">
        <w:r>
          <w:rPr>
            <w:rStyle w:val="Collegamentoipertestuale"/>
            <w:rFonts w:ascii="Trebuchet MS" w:hAnsi="Trebuchet MS"/>
            <w:color w:val="234E96"/>
            <w:sz w:val="13"/>
            <w:szCs w:val="13"/>
            <w:u w:val="none"/>
            <w:shd w:val="clear" w:color="auto" w:fill="FFFFFF"/>
          </w:rPr>
          <w:t>MARTELLA</w:t>
        </w:r>
      </w:hyperlink>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hyperlink r:id="rId26" w:tooltip="Vai alla scheda personale: BINI Caterina" w:history="1">
        <w:r>
          <w:rPr>
            <w:rStyle w:val="Collegamentoipertestuale"/>
            <w:rFonts w:ascii="Trebuchet MS" w:hAnsi="Trebuchet MS"/>
            <w:color w:val="234E96"/>
            <w:sz w:val="13"/>
            <w:szCs w:val="13"/>
            <w:u w:val="none"/>
            <w:shd w:val="clear" w:color="auto" w:fill="FFFFFF"/>
          </w:rPr>
          <w:t>BINI</w:t>
        </w:r>
      </w:hyperlink>
      <w:r>
        <w:rPr>
          <w:rStyle w:val="apple-converted-space"/>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e</w:t>
      </w:r>
      <w:r>
        <w:rPr>
          <w:rStyle w:val="apple-converted-space"/>
          <w:rFonts w:ascii="Trebuchet MS" w:hAnsi="Trebuchet MS"/>
          <w:color w:val="000000"/>
          <w:sz w:val="13"/>
          <w:szCs w:val="13"/>
          <w:shd w:val="clear" w:color="auto" w:fill="FFFFFF"/>
        </w:rPr>
        <w:t> </w:t>
      </w:r>
      <w:hyperlink r:id="rId27" w:tooltip="Vai alla scheda personale: VICO Ludovico" w:history="1">
        <w:r>
          <w:rPr>
            <w:rStyle w:val="Collegamentoipertestuale"/>
            <w:rFonts w:ascii="Trebuchet MS" w:hAnsi="Trebuchet MS"/>
            <w:color w:val="234E96"/>
            <w:sz w:val="13"/>
            <w:szCs w:val="13"/>
            <w:u w:val="none"/>
            <w:shd w:val="clear" w:color="auto" w:fill="FFFFFF"/>
          </w:rPr>
          <w:t>VICO</w:t>
        </w:r>
      </w:hyperlink>
      <w:r>
        <w:rPr>
          <w:rFonts w:ascii="Trebuchet MS" w:hAnsi="Trebuchet MS"/>
          <w:color w:val="000000"/>
          <w:sz w:val="13"/>
          <w:szCs w:val="13"/>
          <w:shd w:val="clear" w:color="auto" w:fill="FFFFFF"/>
        </w:rPr>
        <w:t>. —</w:t>
      </w:r>
      <w:r>
        <w:rPr>
          <w:rStyle w:val="apple-converted-space"/>
          <w:rFonts w:ascii="Trebuchet MS" w:hAnsi="Trebuchet MS"/>
          <w:color w:val="000000"/>
          <w:sz w:val="13"/>
          <w:szCs w:val="13"/>
          <w:shd w:val="clear" w:color="auto" w:fill="FFFFFF"/>
        </w:rPr>
        <w:t> </w:t>
      </w:r>
      <w:r>
        <w:rPr>
          <w:rStyle w:val="Enfasicorsivo"/>
          <w:rFonts w:ascii="Trebuchet MS" w:hAnsi="Trebuchet MS"/>
          <w:color w:val="333333"/>
          <w:sz w:val="13"/>
          <w:szCs w:val="13"/>
          <w:shd w:val="clear" w:color="auto" w:fill="FFFFFF"/>
        </w:rPr>
        <w:t>Al Ministro del lavoro e delle politiche sociali</w:t>
      </w:r>
      <w:r>
        <w:rPr>
          <w:rFonts w:ascii="Trebuchet MS" w:hAnsi="Trebuchet MS"/>
          <w:color w:val="000000"/>
          <w:sz w:val="13"/>
          <w:szCs w:val="13"/>
          <w:shd w:val="clear" w:color="auto" w:fill="FFFFFF"/>
        </w:rPr>
        <w:t>. — Per sapere – premesso che:</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le reiterate manifestazioni di disponibilità del Governo in carica ad introdurre elementi di flessibilità nel sistema previdenziale rappresentano un significativo e condivisibile cambio di approccio culturale ai temi della previdenza, dell'invecchiamento e del ricambio generazionale nel mercato del lavoro;</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per addivenire a risultati efficaci e tecnicamente praticabili in tale materia, è indispensabile disporre di dati sempre più puntuali e condivisi, anche al fine della migliore gestione delle relative risorse finanziarie, in piena coerenza con i pronunciamenti legislativi;</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sulla base dell'analisi dell'ultimo «Monitoraggio dei flussi di pensionamento», predisposto trimestralmente dall'Inps, dalla rilevazione del primo semestre 2016 emergono una serie di elementi di grande utilità in vista delle prossime scadenze parlamentari;</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tra i tanti dati, si segnala l'esigenza di uno specifico approfondimento per quanto concerne il numero delle pensioni di anzianità e anticipate, liquidate con il sistema contributivo nel primo semestre 2016. Il totale di tali trattamenti pensionistici, riferiti quindi alla platea dei lavoratori e delle lavoratrici, è pari a 5.104, di cui 3.593 lavoratori dipendenti, 401 coltivatori diretti mezzadri e coloni, 466 artigiani e 644 commercianti. A questi dati andrebbero sommati i dati relativi ai dipendenti pubblici, di cui ancora non si dispone la precisa entità numerica, tuttavia stimabile nell'ordine di un terzo rispetto al numero dei lavoratori dipendenti;</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come si evince dalle stesse note metodologiche riferite alle tabelle relative a tutte le categorie di lavoratori e lavoratrici, i dati complessivi fanno riferimento sia alle pensioni liquidate in regime contributivo puro (per vecchiaia, invalidità e superstiti di coloro che hanno la prima contribuzione accreditata dopo il 31 dicembre 1995 – articolo 1, comma 6, della legge n.</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335 del 1995), sia a quelle relative a coloro che, pur essendo nel regime misto, hanno esercitato la facoltà di opzione per il sistema contributivo (articolo 1, comma 23, della legge n.</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335 del 1995), oltre a quelle delle lavoratrici che hanno esercitato la cosiddetta opzione-donna (articolo 1, comma 9, della legge n.</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243 del 2004), platea che in questa sede ci interessa particolarmente;</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qualora tali</w:t>
      </w:r>
      <w:r>
        <w:rPr>
          <w:rStyle w:val="apple-converted-space"/>
          <w:rFonts w:ascii="Trebuchet MS" w:hAnsi="Trebuchet MS"/>
          <w:color w:val="000000"/>
          <w:sz w:val="13"/>
          <w:szCs w:val="13"/>
          <w:shd w:val="clear" w:color="auto" w:fill="FFFFFF"/>
        </w:rPr>
        <w:t> </w:t>
      </w:r>
      <w:r>
        <w:rPr>
          <w:rStyle w:val="Enfasicorsivo"/>
          <w:rFonts w:ascii="Trebuchet MS" w:hAnsi="Trebuchet MS"/>
          <w:color w:val="000000"/>
          <w:sz w:val="13"/>
          <w:szCs w:val="13"/>
          <w:shd w:val="clear" w:color="auto" w:fill="FFFFFF"/>
        </w:rPr>
        <w:t>trend</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dovessero essere confermati, compreso il dato relativo ai dipendenti pubblici, potremmo ragionevolmente stimare nell'ordine di circa 12.000 il numero complessivo dei trattamenti pensionistici liquidati con il sistema contributivo nel corso del 2016, ancora una volta precisando che tale numero è riferito ai lavoratori e alle lavoratrici;</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come noto, ai sensi del comma 281 dell'articolo 1 della legge 28 dicembre 2016, n.</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208 (legge di stabilità per il 2016), superando le incertezze interpretative che ne avevano condizionato la fruibilità, il legislatore ha stabilito che, al fine di portare a conclusione la sperimentazione dell'istituto della cosiddetta opzione donna, possano avvalersene le lavoratrici che hanno maturato, al netto degli incrementi legati alle aspettative di vita, i relativi requisiti entro il 31 dicembre 2015, ancorché la decorrenza del trattamento pensionistico sia successiva a tale data;</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nell'ambito della medesima disposizione è stato previsto che: «Sulla base dei dati di consuntivo e del monitoraggio, effettuato dall'Inps, il Ministro del lavoro e delle politiche sociali, di concerto con il Ministro dell'economia e delle finanze, entro il 30 settembre di ogni anno, trasmette alle Camere una relazione sull'attuazione della sperimentazione di cui all'articolo 1, comma 9, della legge 23 agosto 2004, n.</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243, con particolare riferimento al numero delle lavoratrici interessate e agli oneri previdenziali conseguenti e, in relazione alla conclusione della medesima sperimentazione, come disciplinata ai sensi del primo periodo del presente comma, anche al raffronto degli specifici oneri previdenziali conseguenti all'attuazione del primo periodo del presente comma con le relative previsioni di spesa»;</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l'ultimo periodo del comma 281 prevede: «Qualora dall'attività di monitoraggio di cui al precedente periodo risulti un onere previdenziale inferiore rispetto alle previsioni di spesa di cui al primo periodo del presente comma, anche avuto riguardo alla proiezione negli anni successivi, con successivo provvedimento legislativo verrà disposto l'impiego delle risorse non utilizzate per interventi con finalità analoghe a quelle di cui al presente comma, ivi compresa la prosecuzione della medesima sperimentazione»;</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gli oneri finanziari della norma disposta con il citato comma 281, indicati in 160 milioni di euro per l'anno 2016 e di 49 milioni di euro per l'anno 2017, sono stati stimati sulla base della previsione che la platea delle lavoratrici coinvolte sarebbe stata dell'ordine di 36.000 unità;</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non appare comprensibile come, nonostante la specifica disposizione legislativa, l'ente previdenziale non abbia provveduto, nell'elaborazione del «Monitoraggio dei flussi di pensionamento», a distinguere ed evidenziare il dato riferito alle donne che si sono avvalse della facoltà prevista dal citato articolo 1, comma 9, della legge 23 agosto 2004, n.</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243, distinzione importante in sede di ogni rilevazione da completare con la relazione prevista entro il 30 settembre di ogni anno;</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si coglie l'occasione per evidenziare che in sede di monitoraggio dei flussi di pensionamento sia sempre indispensabile per il Governo e per il legislatore avere i dati distinti per uomini e donne, quindi separatamente, e nonostante tale carenza, i dati denotano andamenti ben diversi e ridimensionati rispetto a quanto ipotizzato in sede di approvazione della legge di stabilità per il 2016</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w:t>
      </w:r>
      <w:r>
        <w:rPr>
          <w:rStyle w:val="apple-converted-space"/>
          <w:rFonts w:ascii="Trebuchet MS" w:hAnsi="Trebuchet MS"/>
          <w:color w:val="000000"/>
          <w:sz w:val="13"/>
          <w:szCs w:val="13"/>
          <w:shd w:val="clear" w:color="auto" w:fill="FFFFFF"/>
        </w:rPr>
        <w:t> </w:t>
      </w:r>
      <w:r>
        <w:rPr>
          <w:rFonts w:ascii="Trebuchet MS" w:hAnsi="Trebuchet MS"/>
          <w:color w:val="000000"/>
          <w:sz w:val="13"/>
          <w:szCs w:val="13"/>
        </w:rPr>
        <w:br/>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quali iniziative intenda assumere al fine di disporre il tempestivo aggiornamento dei metodi di computo del numero delle pensioni di anzianità e anticipate, liquidate con il sistema contributivo, evidenziando il dato relativo al numero delle lavoratrici che si sono avvalse della cosiddetta opzione donna, in ottemperanza del citato comma 281 dell'articolo 1 della legge n.</w:t>
      </w:r>
      <w:r>
        <w:rPr>
          <w:rFonts w:ascii="Trebuchet MS" w:hAnsi="Trebuchet MS"/>
          <w:color w:val="000000"/>
          <w:sz w:val="13"/>
          <w:szCs w:val="13"/>
          <w:shd w:val="clear" w:color="auto" w:fill="FFFFFF"/>
        </w:rPr>
        <w:t> </w:t>
      </w:r>
      <w:r>
        <w:rPr>
          <w:rFonts w:ascii="Trebuchet MS" w:hAnsi="Trebuchet MS"/>
          <w:color w:val="000000"/>
          <w:sz w:val="13"/>
          <w:szCs w:val="13"/>
          <w:shd w:val="clear" w:color="auto" w:fill="FFFFFF"/>
        </w:rPr>
        <w:t>208 del 2015 (legge di stabilità per il 2016), anche al fine della piena e tempestiva applicabilità dell'ultimo periodo di tale disposizione richiamato in premessa. (3-02428)</w:t>
      </w:r>
    </w:p>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CE41F0"/>
    <w:rsid w:val="002472D8"/>
    <w:rsid w:val="00871A2E"/>
    <w:rsid w:val="00CE41F0"/>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E41F0"/>
    <w:rPr>
      <w:color w:val="0000FF"/>
      <w:u w:val="single"/>
    </w:rPr>
  </w:style>
  <w:style w:type="character" w:customStyle="1" w:styleId="apple-converted-space">
    <w:name w:val="apple-converted-space"/>
    <w:basedOn w:val="Carpredefinitoparagrafo"/>
    <w:rsid w:val="00CE41F0"/>
  </w:style>
  <w:style w:type="character" w:styleId="Enfasicorsivo">
    <w:name w:val="Emphasis"/>
    <w:basedOn w:val="Carpredefinitoparagrafo"/>
    <w:uiPriority w:val="20"/>
    <w:qFormat/>
    <w:rsid w:val="00CE41F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i.intra.camera.it/apps/commonServices/getDocumento.ashx?sezione=deputati&amp;tipoDoc=schedaDeputato&amp;idLegislatura=17&amp;idPersona=305948&amp;webType=Normale&amp;http_referer=https://portale.intra.camera.it/portal/portal" TargetMode="External"/><Relationship Id="rId13" Type="http://schemas.openxmlformats.org/officeDocument/2006/relationships/hyperlink" Target="https://documenti.intra.camera.it/apps/commonServices/getDocumento.ashx?sezione=deputati&amp;tipoDoc=schedaDeputato&amp;idLegislatura=17&amp;idPersona=305719&amp;webType=Normale&amp;http_referer=https://portale.intra.camera.it/portal/portal" TargetMode="External"/><Relationship Id="rId18" Type="http://schemas.openxmlformats.org/officeDocument/2006/relationships/hyperlink" Target="https://documenti.intra.camera.it/apps/commonServices/getDocumento.ashx?sezione=deputati&amp;tipoDoc=schedaDeputato&amp;idLegislatura=17&amp;idPersona=305941&amp;webType=Normale&amp;http_referer=https://portale.intra.camera.it/portal/portal" TargetMode="External"/><Relationship Id="rId26" Type="http://schemas.openxmlformats.org/officeDocument/2006/relationships/hyperlink" Target="https://documenti.intra.camera.it/apps/commonServices/getDocumento.ashx?sezione=deputati&amp;tipoDoc=schedaDeputato&amp;idLegislatura=17&amp;idPersona=306146&amp;webType=Normale&amp;http_referer=https://portale.intra.camera.it/portal/portal" TargetMode="External"/><Relationship Id="rId3" Type="http://schemas.openxmlformats.org/officeDocument/2006/relationships/webSettings" Target="webSettings.xml"/><Relationship Id="rId21" Type="http://schemas.openxmlformats.org/officeDocument/2006/relationships/hyperlink" Target="https://documenti.intra.camera.it/apps/commonServices/getDocumento.ashx?sezione=deputati&amp;tipoDoc=schedaDeputato&amp;idLegislatura=17&amp;idPersona=305650&amp;webType=Normale&amp;http_referer=https://portale.intra.camera.it/portal/portal" TargetMode="External"/><Relationship Id="rId7" Type="http://schemas.openxmlformats.org/officeDocument/2006/relationships/hyperlink" Target="https://documenti.intra.camera.it/apps/commonServices/getDocumento.ashx?sezione=deputati&amp;tipoDoc=schedaDeputato&amp;idLegislatura=17&amp;idPersona=305888&amp;webType=Normale&amp;http_referer=https://portale.intra.camera.it/portal/portal" TargetMode="External"/><Relationship Id="rId12" Type="http://schemas.openxmlformats.org/officeDocument/2006/relationships/hyperlink" Target="https://documenti.intra.camera.it/apps/commonServices/getDocumento.ashx?sezione=deputati&amp;tipoDoc=schedaDeputato&amp;idLegislatura=17&amp;idPersona=301548&amp;webType=Normale&amp;http_referer=https://portale.intra.camera.it/portal/portal" TargetMode="External"/><Relationship Id="rId17" Type="http://schemas.openxmlformats.org/officeDocument/2006/relationships/hyperlink" Target="https://documenti.intra.camera.it/apps/commonServices/getDocumento.ashx?sezione=deputati&amp;tipoDoc=schedaDeputato&amp;idLegislatura=17&amp;idPersona=305817&amp;webType=Normale&amp;http_referer=https://portale.intra.camera.it/portal/portal" TargetMode="External"/><Relationship Id="rId25" Type="http://schemas.openxmlformats.org/officeDocument/2006/relationships/hyperlink" Target="https://documenti.intra.camera.it/apps/commonServices/getDocumento.ashx?sezione=deputati&amp;tipoDoc=schedaDeputato&amp;idLegislatura=17&amp;idPersona=300483&amp;webType=Normale&amp;http_referer=https://portale.intra.camera.it/portal/portal" TargetMode="External"/><Relationship Id="rId2" Type="http://schemas.openxmlformats.org/officeDocument/2006/relationships/settings" Target="settings.xml"/><Relationship Id="rId16" Type="http://schemas.openxmlformats.org/officeDocument/2006/relationships/hyperlink" Target="https://documenti.intra.camera.it/apps/commonServices/getDocumento.ashx?sezione=deputati&amp;tipoDoc=schedaDeputato&amp;idLegislatura=17&amp;idPersona=305742&amp;webType=Normale&amp;http_referer=https://portale.intra.camera.it/portal/portal" TargetMode="External"/><Relationship Id="rId20" Type="http://schemas.openxmlformats.org/officeDocument/2006/relationships/hyperlink" Target="https://documenti.intra.camera.it/apps/commonServices/getDocumento.ashx?sezione=deputati&amp;tipoDoc=schedaDeputato&amp;idLegislatura=17&amp;idPersona=305606&amp;webType=Normale&amp;http_referer=https://portale.intra.camera.it/portal/porta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umenti.intra.camera.it/apps/commonServices/getDocumento.ashx?sezione=deputati&amp;tipoDoc=schedaDeputato&amp;idLegislatura=17&amp;idPersona=306112&amp;webType=Normale&amp;http_referer=https://portale.intra.camera.it/portal/portal" TargetMode="External"/><Relationship Id="rId11" Type="http://schemas.openxmlformats.org/officeDocument/2006/relationships/hyperlink" Target="https://documenti.intra.camera.it/apps/commonServices/getDocumento.ashx?sezione=deputati&amp;tipoDoc=schedaDeputato&amp;idLegislatura=17&amp;idPersona=301576&amp;webType=Normale&amp;http_referer=https://portale.intra.camera.it/portal/portal" TargetMode="External"/><Relationship Id="rId24" Type="http://schemas.openxmlformats.org/officeDocument/2006/relationships/hyperlink" Target="https://documenti.intra.camera.it/apps/commonServices/getDocumento.ashx?sezione=deputati&amp;tipoDoc=schedaDeputato&amp;idLegislatura=17&amp;idPersona=306104&amp;webType=Normale&amp;http_referer=https://portale.intra.camera.it/portal/portal" TargetMode="External"/><Relationship Id="rId5" Type="http://schemas.openxmlformats.org/officeDocument/2006/relationships/hyperlink" Target="https://documenti.intra.camera.it/apps/commonServices/getDocumento.ashx?sezione=deputati&amp;tipoDoc=schedaDeputato&amp;idLegislatura=17&amp;idPersona=301532&amp;webType=Normale&amp;http_referer=https://portale.intra.camera.it/portal/portal" TargetMode="External"/><Relationship Id="rId15" Type="http://schemas.openxmlformats.org/officeDocument/2006/relationships/hyperlink" Target="https://documenti.intra.camera.it/apps/commonServices/getDocumento.ashx?sezione=deputati&amp;tipoDoc=schedaDeputato&amp;idLegislatura=17&amp;idPersona=305702&amp;webType=Normale&amp;http_referer=https://portale.intra.camera.it/portal/portal" TargetMode="External"/><Relationship Id="rId23" Type="http://schemas.openxmlformats.org/officeDocument/2006/relationships/hyperlink" Target="https://documenti.intra.camera.it/apps/commonServices/getDocumento.ashx?sezione=deputati&amp;tipoDoc=schedaDeputato&amp;idLegislatura=17&amp;idPersona=305984&amp;webType=Normale&amp;http_referer=https://portale.intra.camera.it/portal/portal" TargetMode="External"/><Relationship Id="rId28" Type="http://schemas.openxmlformats.org/officeDocument/2006/relationships/fontTable" Target="fontTable.xml"/><Relationship Id="rId10" Type="http://schemas.openxmlformats.org/officeDocument/2006/relationships/hyperlink" Target="https://documenti.intra.camera.it/apps/commonServices/getDocumento.ashx?sezione=deputati&amp;tipoDoc=schedaDeputato&amp;idLegislatura=17&amp;idPersona=305654&amp;webType=Normale&amp;http_referer=https://portale.intra.camera.it/portal/portal" TargetMode="External"/><Relationship Id="rId19" Type="http://schemas.openxmlformats.org/officeDocument/2006/relationships/hyperlink" Target="https://documenti.intra.camera.it/apps/commonServices/getDocumento.ashx?sezione=deputati&amp;tipoDoc=schedaDeputato&amp;idLegislatura=17&amp;idPersona=305878&amp;webType=Normale&amp;http_referer=https://portale.intra.camera.it/portal/portal" TargetMode="External"/><Relationship Id="rId4" Type="http://schemas.openxmlformats.org/officeDocument/2006/relationships/hyperlink" Target="https://documenti.intra.camera.it/apps/commonServices/getDocumento.ashx?sezione=deputati&amp;tipoDoc=schedaDeputato&amp;idLegislatura=17&amp;idPersona=302862&amp;webType=Normale&amp;http_referer=https://portale.intra.camera.it/portal/portal" TargetMode="External"/><Relationship Id="rId9" Type="http://schemas.openxmlformats.org/officeDocument/2006/relationships/hyperlink" Target="https://documenti.intra.camera.it/apps/commonServices/getDocumento.ashx?sezione=deputati&amp;tipoDoc=schedaDeputato&amp;idLegislatura=17&amp;idPersona=302779&amp;webType=Normale&amp;http_referer=https://portale.intra.camera.it/portal/portal" TargetMode="External"/><Relationship Id="rId14" Type="http://schemas.openxmlformats.org/officeDocument/2006/relationships/hyperlink" Target="https://documenti.intra.camera.it/apps/commonServices/getDocumento.ashx?sezione=deputati&amp;tipoDoc=schedaDeputato&amp;idLegislatura=17&amp;idPersona=306008&amp;webType=Normale&amp;http_referer=https://portale.intra.camera.it/portal/portal" TargetMode="External"/><Relationship Id="rId22" Type="http://schemas.openxmlformats.org/officeDocument/2006/relationships/hyperlink" Target="https://documenti.intra.camera.it/apps/commonServices/getDocumento.ashx?sezione=deputati&amp;tipoDoc=schedaDeputato&amp;idLegislatura=17&amp;idPersona=306122&amp;webType=Normale&amp;http_referer=https://portale.intra.camera.it/portal/portal" TargetMode="External"/><Relationship Id="rId27" Type="http://schemas.openxmlformats.org/officeDocument/2006/relationships/hyperlink" Target="https://documenti.intra.camera.it/apps/commonServices/getDocumento.ashx?sezione=deputati&amp;tipoDoc=schedaDeputato&amp;idLegislatura=17&amp;idPersona=301565&amp;webType=Normale&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2013</Words>
  <Characters>11476</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2016-07-28T14:50:00Z</dcterms:created>
  <dcterms:modified xsi:type="dcterms:W3CDTF">2016-07-28T14:51:00Z</dcterms:modified>
</cp:coreProperties>
</file>