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EC" w:rsidRPr="002E0680" w:rsidRDefault="00D835EC" w:rsidP="00B01D3B">
      <w:pPr>
        <w:jc w:val="center"/>
        <w:rPr>
          <w:rFonts w:ascii="Times New Roman" w:hAnsi="Times New Roman" w:cs="Times New Roman"/>
          <w:b/>
          <w:bCs/>
          <w:sz w:val="24"/>
          <w:szCs w:val="24"/>
        </w:rPr>
      </w:pPr>
      <w:r w:rsidRPr="002E0680">
        <w:rPr>
          <w:rFonts w:ascii="Times New Roman" w:hAnsi="Times New Roman" w:cs="Times New Roman"/>
          <w:b/>
          <w:bCs/>
          <w:sz w:val="24"/>
          <w:szCs w:val="24"/>
        </w:rPr>
        <w:t>Schema di decreto legislativo recante disposizioni per il riordino della normativa in materia di ammortizzatori sociali in caso di disoccupazione involontaria e di ricollocazione dei lavoratori disoccupati, in attuazione della legge 10 dicembre 2014, n. 183</w:t>
      </w:r>
    </w:p>
    <w:p w:rsidR="00D835EC" w:rsidRDefault="00D835EC" w:rsidP="00B01D3B">
      <w:pPr>
        <w:jc w:val="center"/>
        <w:rPr>
          <w:rFonts w:ascii="Times New Roman" w:hAnsi="Times New Roman" w:cs="Times New Roman"/>
          <w:b/>
          <w:bCs/>
          <w:sz w:val="24"/>
          <w:szCs w:val="24"/>
        </w:rPr>
      </w:pPr>
      <w:r>
        <w:rPr>
          <w:rFonts w:ascii="Times New Roman" w:hAnsi="Times New Roman" w:cs="Times New Roman"/>
          <w:b/>
          <w:bCs/>
          <w:sz w:val="24"/>
          <w:szCs w:val="24"/>
        </w:rPr>
        <w:t>(Atto n. 135</w:t>
      </w:r>
      <w:r w:rsidRPr="002E0680">
        <w:rPr>
          <w:rFonts w:ascii="Times New Roman" w:hAnsi="Times New Roman" w:cs="Times New Roman"/>
          <w:b/>
          <w:bCs/>
          <w:sz w:val="24"/>
          <w:szCs w:val="24"/>
        </w:rPr>
        <w:t>)</w:t>
      </w:r>
    </w:p>
    <w:p w:rsidR="00D835EC" w:rsidRDefault="00D835EC" w:rsidP="00B01D3B">
      <w:pPr>
        <w:jc w:val="center"/>
        <w:rPr>
          <w:rFonts w:ascii="Times New Roman" w:hAnsi="Times New Roman" w:cs="Times New Roman"/>
          <w:b/>
          <w:bCs/>
          <w:sz w:val="24"/>
          <w:szCs w:val="24"/>
        </w:rPr>
      </w:pPr>
    </w:p>
    <w:p w:rsidR="00D835EC" w:rsidRDefault="00D835EC" w:rsidP="00B01D3B">
      <w:pPr>
        <w:jc w:val="center"/>
        <w:rPr>
          <w:rFonts w:ascii="Times New Roman" w:hAnsi="Times New Roman" w:cs="Times New Roman"/>
          <w:b/>
          <w:bCs/>
          <w:sz w:val="24"/>
          <w:szCs w:val="24"/>
        </w:rPr>
      </w:pPr>
    </w:p>
    <w:p w:rsidR="00D835EC" w:rsidRDefault="00D835EC" w:rsidP="00B01D3B">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PARERE </w:t>
      </w:r>
      <w:r w:rsidR="00F95802">
        <w:rPr>
          <w:rFonts w:ascii="Times New Roman" w:hAnsi="Times New Roman" w:cs="Times New Roman"/>
          <w:b/>
          <w:bCs/>
          <w:i/>
          <w:iCs/>
          <w:sz w:val="24"/>
          <w:szCs w:val="24"/>
        </w:rPr>
        <w:t>APPROVATO</w:t>
      </w:r>
    </w:p>
    <w:p w:rsidR="00D835EC" w:rsidRDefault="00D835EC" w:rsidP="00B01D3B">
      <w:pPr>
        <w:rPr>
          <w:rFonts w:ascii="Times New Roman" w:hAnsi="Times New Roman" w:cs="Times New Roman"/>
          <w:b/>
          <w:bCs/>
          <w:i/>
          <w:iCs/>
          <w:sz w:val="24"/>
          <w:szCs w:val="24"/>
        </w:rPr>
      </w:pPr>
    </w:p>
    <w:p w:rsidR="00D835EC" w:rsidRDefault="00D835EC" w:rsidP="00B01D3B">
      <w:pPr>
        <w:ind w:firstLine="0"/>
        <w:rPr>
          <w:rFonts w:ascii="Times New Roman" w:hAnsi="Times New Roman" w:cs="Times New Roman"/>
          <w:sz w:val="24"/>
          <w:szCs w:val="24"/>
        </w:rPr>
      </w:pPr>
      <w:r>
        <w:rPr>
          <w:rFonts w:ascii="Times New Roman" w:hAnsi="Times New Roman" w:cs="Times New Roman"/>
          <w:sz w:val="24"/>
          <w:szCs w:val="24"/>
        </w:rPr>
        <w:t>La XI Commissione,</w:t>
      </w:r>
    </w:p>
    <w:p w:rsidR="00D835EC" w:rsidRDefault="00D835EC" w:rsidP="00912A7F">
      <w:pPr>
        <w:rPr>
          <w:rFonts w:ascii="Times New Roman" w:hAnsi="Times New Roman" w:cs="Times New Roman"/>
          <w:sz w:val="24"/>
          <w:szCs w:val="24"/>
        </w:rPr>
      </w:pP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esaminato lo s</w:t>
      </w:r>
      <w:r w:rsidRPr="00B01D3B">
        <w:rPr>
          <w:rFonts w:ascii="Times New Roman" w:hAnsi="Times New Roman" w:cs="Times New Roman"/>
          <w:sz w:val="24"/>
          <w:szCs w:val="24"/>
        </w:rPr>
        <w:t>chema di decreto legislativo recante disposizioni per il riordino della normativa in materia di ammortizzatori sociali in caso di disoccupazione involontaria e di ricollocazione dei lavoratori disoccupati, in attuazione della legge 10 dicembre 2014, n. 183</w:t>
      </w:r>
      <w:r>
        <w:rPr>
          <w:rFonts w:ascii="Times New Roman" w:hAnsi="Times New Roman" w:cs="Times New Roman"/>
          <w:sz w:val="24"/>
          <w:szCs w:val="24"/>
        </w:rPr>
        <w:t xml:space="preserve"> (</w:t>
      </w:r>
      <w:r w:rsidRPr="00B01D3B">
        <w:rPr>
          <w:rFonts w:ascii="Times New Roman" w:hAnsi="Times New Roman" w:cs="Times New Roman"/>
          <w:sz w:val="24"/>
          <w:szCs w:val="24"/>
        </w:rPr>
        <w:t>Atto n. 135)</w:t>
      </w:r>
      <w:r>
        <w:rPr>
          <w:rFonts w:ascii="Times New Roman" w:hAnsi="Times New Roman" w:cs="Times New Roman"/>
          <w:sz w:val="24"/>
          <w:szCs w:val="24"/>
        </w:rPr>
        <w:t>;</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rilevato con favore che il provvedimento, nel rimodulare la disciplina dell’ASpI e della mini-ASpI, individua requisiti per l’accesso alla NASpI meno stringenti di quelli previsti a legislazione vigente per il riconoscimento dell’ASpI;</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 xml:space="preserve">osservato, in particolare, che, secondo i dati riportati nella relazione tecnica allegata allo schema in esame, per effetto delle innovazioni introdotte dal provvedimento, il numero dei soggetti che presentano requisiti utili ai fini della percezione della prestazione di assicurazione sociale per l’impiego aumenterebbe dal 96 al 97,2 per cento del totale dei lavoratori assicurati e aumenterebbe sensibilmente la frequenza </w:t>
      </w:r>
      <w:r w:rsidR="00AC6FE6">
        <w:rPr>
          <w:rFonts w:ascii="Times New Roman" w:hAnsi="Times New Roman" w:cs="Times New Roman"/>
          <w:sz w:val="24"/>
          <w:szCs w:val="24"/>
        </w:rPr>
        <w:t>nell’accesso</w:t>
      </w:r>
      <w:r>
        <w:rPr>
          <w:rFonts w:ascii="Times New Roman" w:hAnsi="Times New Roman" w:cs="Times New Roman"/>
          <w:sz w:val="24"/>
          <w:szCs w:val="24"/>
        </w:rPr>
        <w:t xml:space="preserve"> a detta prestazione;</w:t>
      </w:r>
    </w:p>
    <w:p w:rsidR="00AC6FE6" w:rsidRDefault="00AC6FE6" w:rsidP="00B01D3B">
      <w:pPr>
        <w:rPr>
          <w:rFonts w:ascii="Times New Roman" w:hAnsi="Times New Roman" w:cs="Times New Roman"/>
          <w:sz w:val="24"/>
          <w:szCs w:val="24"/>
        </w:rPr>
      </w:pPr>
      <w:r w:rsidRPr="00AC6FE6">
        <w:rPr>
          <w:rFonts w:ascii="Times New Roman" w:hAnsi="Times New Roman" w:cs="Times New Roman"/>
          <w:sz w:val="24"/>
          <w:szCs w:val="24"/>
        </w:rPr>
        <w:t>valutato che la previsione di uno strumento di sostegno al reddito in caso di disoccupazione involontaria di carattere tendenzialmente universale assume particolare rilievo nel quadro di progressiva ridefinizione dell’ambito di applicazione degli ammortizzatori sociali;</w:t>
      </w:r>
    </w:p>
    <w:p w:rsidR="00D835EC" w:rsidRPr="004E4EAC" w:rsidRDefault="00D835EC" w:rsidP="00B01D3B">
      <w:pPr>
        <w:rPr>
          <w:rFonts w:ascii="Times New Roman" w:hAnsi="Times New Roman" w:cs="Times New Roman"/>
          <w:sz w:val="24"/>
          <w:szCs w:val="24"/>
        </w:rPr>
      </w:pPr>
      <w:r>
        <w:rPr>
          <w:rFonts w:ascii="Times New Roman" w:hAnsi="Times New Roman" w:cs="Times New Roman"/>
          <w:sz w:val="24"/>
          <w:szCs w:val="24"/>
        </w:rPr>
        <w:t>giudicate, altresì con favore le disposizioni concernenti l’istituzione, in via sperimentale di un nuovo trattamento di sostegno al reddito destinato ai lavoratori titolari di un contratto di coll</w:t>
      </w:r>
      <w:bookmarkStart w:id="0" w:name="_GoBack"/>
      <w:bookmarkEnd w:id="0"/>
      <w:r>
        <w:rPr>
          <w:rFonts w:ascii="Times New Roman" w:hAnsi="Times New Roman" w:cs="Times New Roman"/>
          <w:sz w:val="24"/>
          <w:szCs w:val="24"/>
        </w:rPr>
        <w:t xml:space="preserve">aborazione, che presenta caratteristiche ispirate a quelle della NASpI e richiede il possesso di requisiti inferiori rispetto a quelli previsti a legislazione vigente per l’accesso alla indennità </w:t>
      </w:r>
      <w:r>
        <w:rPr>
          <w:rFonts w:ascii="Times New Roman" w:hAnsi="Times New Roman" w:cs="Times New Roman"/>
          <w:i/>
          <w:iCs/>
          <w:sz w:val="24"/>
          <w:szCs w:val="24"/>
        </w:rPr>
        <w:t xml:space="preserve">una tantum </w:t>
      </w:r>
      <w:r>
        <w:rPr>
          <w:rFonts w:ascii="Times New Roman" w:hAnsi="Times New Roman" w:cs="Times New Roman"/>
          <w:sz w:val="24"/>
          <w:szCs w:val="24"/>
        </w:rPr>
        <w:t xml:space="preserve">di cui all’articolo 2, commi da 51 a 56, della </w:t>
      </w:r>
      <w:r w:rsidRPr="004E4EAC">
        <w:rPr>
          <w:rFonts w:ascii="Times New Roman" w:hAnsi="Times New Roman" w:cs="Times New Roman"/>
          <w:sz w:val="24"/>
          <w:szCs w:val="24"/>
        </w:rPr>
        <w:t>legge 28 giugno 2012, n. 92</w:t>
      </w:r>
      <w:r w:rsidR="00882BDF">
        <w:rPr>
          <w:rFonts w:ascii="Times New Roman" w:hAnsi="Times New Roman" w:cs="Times New Roman"/>
          <w:sz w:val="24"/>
          <w:szCs w:val="24"/>
        </w:rPr>
        <w:t>;</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 xml:space="preserve">considerata positivamente l’introduzione, ancorché in via sperimentale, di un assegno di disoccupazione, che assicura, al termine della fruizione del trattamento </w:t>
      </w:r>
      <w:r w:rsidR="00882BDF" w:rsidRPr="00882BDF">
        <w:rPr>
          <w:rFonts w:ascii="Times New Roman" w:hAnsi="Times New Roman" w:cs="Times New Roman"/>
          <w:sz w:val="24"/>
          <w:szCs w:val="24"/>
        </w:rPr>
        <w:t>d</w:t>
      </w:r>
      <w:r w:rsidR="00882BDF">
        <w:rPr>
          <w:rFonts w:ascii="Times New Roman" w:hAnsi="Times New Roman" w:cs="Times New Roman"/>
          <w:sz w:val="24"/>
          <w:szCs w:val="24"/>
        </w:rPr>
        <w:t>egl</w:t>
      </w:r>
      <w:r w:rsidR="00882BDF" w:rsidRPr="00882BDF">
        <w:rPr>
          <w:rFonts w:ascii="Times New Roman" w:hAnsi="Times New Roman" w:cs="Times New Roman"/>
          <w:sz w:val="24"/>
          <w:szCs w:val="24"/>
        </w:rPr>
        <w:t>i ammortizzatori sociali in caso di disoccupazione involontaria</w:t>
      </w:r>
      <w:r>
        <w:rPr>
          <w:rFonts w:ascii="Times New Roman" w:hAnsi="Times New Roman" w:cs="Times New Roman"/>
          <w:sz w:val="24"/>
          <w:szCs w:val="24"/>
        </w:rPr>
        <w:t>, una prestazione di carattere assistenziale per i lavoratori in condizioni di maggior bisogno che non abbiano trovato una nuova occupazione;</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segnalata, con riferimento all’articolo 14, l’</w:t>
      </w:r>
      <w:r w:rsidRPr="00DB4A2B">
        <w:rPr>
          <w:rFonts w:ascii="Times New Roman" w:hAnsi="Times New Roman" w:cs="Times New Roman"/>
          <w:sz w:val="24"/>
          <w:szCs w:val="24"/>
        </w:rPr>
        <w:t>opportun</w:t>
      </w:r>
      <w:r>
        <w:rPr>
          <w:rFonts w:ascii="Times New Roman" w:hAnsi="Times New Roman" w:cs="Times New Roman"/>
          <w:sz w:val="24"/>
          <w:szCs w:val="24"/>
        </w:rPr>
        <w:t>ità di</w:t>
      </w:r>
      <w:r w:rsidRPr="00DB4A2B">
        <w:rPr>
          <w:rFonts w:ascii="Times New Roman" w:hAnsi="Times New Roman" w:cs="Times New Roman"/>
          <w:sz w:val="24"/>
          <w:szCs w:val="24"/>
        </w:rPr>
        <w:t xml:space="preserve"> evitare il rinvio a</w:t>
      </w:r>
      <w:r w:rsidR="00A33369">
        <w:rPr>
          <w:rFonts w:ascii="Times New Roman" w:hAnsi="Times New Roman" w:cs="Times New Roman"/>
          <w:sz w:val="24"/>
          <w:szCs w:val="24"/>
        </w:rPr>
        <w:t xml:space="preserve">ll’applicazione </w:t>
      </w:r>
      <w:r w:rsidRPr="00DB4A2B">
        <w:rPr>
          <w:rFonts w:ascii="Times New Roman" w:hAnsi="Times New Roman" w:cs="Times New Roman"/>
          <w:sz w:val="24"/>
          <w:szCs w:val="24"/>
        </w:rPr>
        <w:t>d</w:t>
      </w:r>
      <w:r w:rsidR="00A33369">
        <w:rPr>
          <w:rFonts w:ascii="Times New Roman" w:hAnsi="Times New Roman" w:cs="Times New Roman"/>
          <w:sz w:val="24"/>
          <w:szCs w:val="24"/>
        </w:rPr>
        <w:t>i</w:t>
      </w:r>
      <w:r w:rsidRPr="00DB4A2B">
        <w:rPr>
          <w:rFonts w:ascii="Times New Roman" w:hAnsi="Times New Roman" w:cs="Times New Roman"/>
          <w:sz w:val="24"/>
          <w:szCs w:val="24"/>
        </w:rPr>
        <w:t xml:space="preserve"> altre</w:t>
      </w:r>
      <w:r>
        <w:rPr>
          <w:rFonts w:ascii="Times New Roman" w:hAnsi="Times New Roman" w:cs="Times New Roman"/>
          <w:sz w:val="24"/>
          <w:szCs w:val="24"/>
        </w:rPr>
        <w:t xml:space="preserve"> </w:t>
      </w:r>
      <w:r w:rsidRPr="00DB4A2B">
        <w:rPr>
          <w:rFonts w:ascii="Times New Roman" w:hAnsi="Times New Roman" w:cs="Times New Roman"/>
          <w:sz w:val="24"/>
          <w:szCs w:val="24"/>
        </w:rPr>
        <w:t>disposizioni «in quanto</w:t>
      </w:r>
      <w:r>
        <w:rPr>
          <w:rFonts w:ascii="Times New Roman" w:hAnsi="Times New Roman" w:cs="Times New Roman"/>
          <w:sz w:val="24"/>
          <w:szCs w:val="24"/>
        </w:rPr>
        <w:t xml:space="preserve"> compatibili», in linea con le raccomandazioni in materia di </w:t>
      </w:r>
      <w:r w:rsidRPr="00DB4A2B">
        <w:rPr>
          <w:rFonts w:ascii="Times New Roman" w:hAnsi="Times New Roman" w:cs="Times New Roman"/>
          <w:sz w:val="24"/>
          <w:szCs w:val="24"/>
        </w:rPr>
        <w:t>formulazione tecnic</w:t>
      </w:r>
      <w:r>
        <w:rPr>
          <w:rFonts w:ascii="Times New Roman" w:hAnsi="Times New Roman" w:cs="Times New Roman"/>
          <w:sz w:val="24"/>
          <w:szCs w:val="24"/>
        </w:rPr>
        <w:t>a</w:t>
      </w:r>
      <w:r w:rsidRPr="00DB4A2B">
        <w:rPr>
          <w:rFonts w:ascii="Times New Roman" w:hAnsi="Times New Roman" w:cs="Times New Roman"/>
          <w:sz w:val="24"/>
          <w:szCs w:val="24"/>
        </w:rPr>
        <w:t xml:space="preserve"> dei testi legislativi</w:t>
      </w:r>
      <w:r>
        <w:rPr>
          <w:rFonts w:ascii="Times New Roman" w:hAnsi="Times New Roman" w:cs="Times New Roman"/>
          <w:sz w:val="24"/>
          <w:szCs w:val="24"/>
        </w:rPr>
        <w:t>;</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 xml:space="preserve">considerato che l’articolo 15 dello schema dà parzialmente attuazione al criterio direttivo di cui all’articolo 1, comma 2, lettera </w:t>
      </w:r>
      <w:r>
        <w:rPr>
          <w:rFonts w:ascii="Times New Roman" w:hAnsi="Times New Roman" w:cs="Times New Roman"/>
          <w:i/>
          <w:iCs/>
          <w:sz w:val="24"/>
          <w:szCs w:val="24"/>
        </w:rPr>
        <w:t>b)</w:t>
      </w:r>
      <w:r>
        <w:rPr>
          <w:rFonts w:ascii="Times New Roman" w:hAnsi="Times New Roman" w:cs="Times New Roman"/>
          <w:sz w:val="24"/>
          <w:szCs w:val="24"/>
        </w:rPr>
        <w:t xml:space="preserve">, numero 3, della </w:t>
      </w:r>
      <w:r w:rsidRPr="00F537BA">
        <w:rPr>
          <w:rFonts w:ascii="Times New Roman" w:hAnsi="Times New Roman" w:cs="Times New Roman"/>
          <w:sz w:val="24"/>
          <w:szCs w:val="24"/>
        </w:rPr>
        <w:t>legge 10 dicembre 2014, n. 183</w:t>
      </w:r>
      <w:r>
        <w:rPr>
          <w:rFonts w:ascii="Times New Roman" w:hAnsi="Times New Roman" w:cs="Times New Roman"/>
          <w:sz w:val="24"/>
          <w:szCs w:val="24"/>
        </w:rPr>
        <w:t>, relativo all’</w:t>
      </w:r>
      <w:r w:rsidRPr="00F537BA">
        <w:rPr>
          <w:rFonts w:ascii="Times New Roman" w:hAnsi="Times New Roman" w:cs="Times New Roman"/>
          <w:sz w:val="24"/>
          <w:szCs w:val="24"/>
        </w:rPr>
        <w:t>universalizzazione del campo di applicazione dell'ASpI, con estensione ai lavoratori con contratto di collaborazione coordinata e continuativa,</w:t>
      </w:r>
      <w:r>
        <w:rPr>
          <w:rFonts w:ascii="Times New Roman" w:hAnsi="Times New Roman" w:cs="Times New Roman"/>
          <w:sz w:val="24"/>
          <w:szCs w:val="24"/>
        </w:rPr>
        <w:t xml:space="preserve"> fino al loro superamento, </w:t>
      </w:r>
      <w:r w:rsidRPr="008E31F9">
        <w:rPr>
          <w:rFonts w:ascii="Times New Roman" w:hAnsi="Times New Roman" w:cs="Times New Roman"/>
          <w:sz w:val="24"/>
          <w:szCs w:val="24"/>
        </w:rPr>
        <w:t xml:space="preserve">mediante l'abrogazione degli attuali strumenti di sostegno del reddito, l'eventuale modifica delle modalità di accreditamento dei contributi e l'automaticità delle prestazioni, e </w:t>
      </w:r>
      <w:r>
        <w:rPr>
          <w:rFonts w:ascii="Times New Roman" w:hAnsi="Times New Roman" w:cs="Times New Roman"/>
          <w:sz w:val="24"/>
          <w:szCs w:val="24"/>
        </w:rPr>
        <w:t xml:space="preserve">la </w:t>
      </w:r>
      <w:r w:rsidRPr="008E31F9">
        <w:rPr>
          <w:rFonts w:ascii="Times New Roman" w:hAnsi="Times New Roman" w:cs="Times New Roman"/>
          <w:sz w:val="24"/>
          <w:szCs w:val="24"/>
        </w:rPr>
        <w:t>prev</w:t>
      </w:r>
      <w:r>
        <w:rPr>
          <w:rFonts w:ascii="Times New Roman" w:hAnsi="Times New Roman" w:cs="Times New Roman"/>
          <w:sz w:val="24"/>
          <w:szCs w:val="24"/>
        </w:rPr>
        <w:t>isione</w:t>
      </w:r>
      <w:r w:rsidRPr="008E31F9">
        <w:rPr>
          <w:rFonts w:ascii="Times New Roman" w:hAnsi="Times New Roman" w:cs="Times New Roman"/>
          <w:sz w:val="24"/>
          <w:szCs w:val="24"/>
        </w:rPr>
        <w:t xml:space="preserve">, prima dell'entrata a regime, </w:t>
      </w:r>
      <w:r>
        <w:rPr>
          <w:rFonts w:ascii="Times New Roman" w:hAnsi="Times New Roman" w:cs="Times New Roman"/>
          <w:sz w:val="24"/>
          <w:szCs w:val="24"/>
        </w:rPr>
        <w:t xml:space="preserve">di </w:t>
      </w:r>
      <w:r w:rsidRPr="008E31F9">
        <w:rPr>
          <w:rFonts w:ascii="Times New Roman" w:hAnsi="Times New Roman" w:cs="Times New Roman"/>
          <w:sz w:val="24"/>
          <w:szCs w:val="24"/>
        </w:rPr>
        <w:t>un periodo almeno biennale di sperimentazione a risorse definite;</w:t>
      </w:r>
    </w:p>
    <w:p w:rsidR="00D835EC" w:rsidRDefault="00A33369" w:rsidP="00B01D3B">
      <w:pPr>
        <w:rPr>
          <w:rFonts w:ascii="Times New Roman" w:hAnsi="Times New Roman" w:cs="Times New Roman"/>
          <w:sz w:val="24"/>
          <w:szCs w:val="24"/>
        </w:rPr>
      </w:pPr>
      <w:r>
        <w:rPr>
          <w:rFonts w:ascii="Times New Roman" w:hAnsi="Times New Roman" w:cs="Times New Roman"/>
          <w:sz w:val="24"/>
          <w:szCs w:val="24"/>
        </w:rPr>
        <w:t xml:space="preserve">rilevato </w:t>
      </w:r>
      <w:r w:rsidR="00D835EC">
        <w:rPr>
          <w:rFonts w:ascii="Times New Roman" w:hAnsi="Times New Roman" w:cs="Times New Roman"/>
          <w:sz w:val="24"/>
          <w:szCs w:val="24"/>
        </w:rPr>
        <w:t>che la disciplina di cui all’articolo 15 può considerarsi esaustiva della delega di cui alla legge n. 183 del 2014 nella misura in cui si intenda tale disciplina come riferita ad una fase di sperimentazione a risorse definite da esaurirsi all’atto del superamento dei contratti di collaborazione coordinata e continuativa;</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lastRenderedPageBreak/>
        <w:t xml:space="preserve">ritenuto che, </w:t>
      </w:r>
      <w:r w:rsidR="00A33369">
        <w:rPr>
          <w:rFonts w:ascii="Times New Roman" w:hAnsi="Times New Roman" w:cs="Times New Roman"/>
          <w:sz w:val="24"/>
          <w:szCs w:val="24"/>
        </w:rPr>
        <w:t xml:space="preserve">anche </w:t>
      </w:r>
      <w:r>
        <w:rPr>
          <w:rFonts w:ascii="Times New Roman" w:hAnsi="Times New Roman" w:cs="Times New Roman"/>
          <w:sz w:val="24"/>
          <w:szCs w:val="24"/>
        </w:rPr>
        <w:t xml:space="preserve">al fine di corrispondere al criterio direttivo della delega contenuta nella legge n. 183 del 2014 sia </w:t>
      </w:r>
      <w:r w:rsidR="00A33369">
        <w:rPr>
          <w:rFonts w:ascii="Times New Roman" w:hAnsi="Times New Roman" w:cs="Times New Roman"/>
          <w:sz w:val="24"/>
          <w:szCs w:val="24"/>
        </w:rPr>
        <w:t>opportuno</w:t>
      </w:r>
      <w:r>
        <w:rPr>
          <w:rFonts w:ascii="Times New Roman" w:hAnsi="Times New Roman" w:cs="Times New Roman"/>
          <w:sz w:val="24"/>
          <w:szCs w:val="24"/>
        </w:rPr>
        <w:t xml:space="preserve"> assicurare l’estensione della DIS-COLL fino al superamento dei contratti di c</w:t>
      </w:r>
      <w:r w:rsidRPr="00723E8C">
        <w:rPr>
          <w:rFonts w:ascii="Times New Roman" w:hAnsi="Times New Roman" w:cs="Times New Roman"/>
          <w:sz w:val="24"/>
          <w:szCs w:val="24"/>
        </w:rPr>
        <w:t>ollaborazione coordinata e continuativa;</w:t>
      </w:r>
    </w:p>
    <w:p w:rsidR="00D835EC" w:rsidRDefault="00D835EC" w:rsidP="00B01D3B">
      <w:pPr>
        <w:rPr>
          <w:rFonts w:ascii="Times New Roman" w:hAnsi="Times New Roman" w:cs="Times New Roman"/>
          <w:sz w:val="24"/>
          <w:szCs w:val="24"/>
        </w:rPr>
      </w:pPr>
      <w:r w:rsidRPr="005A2D59">
        <w:rPr>
          <w:rFonts w:ascii="Times New Roman" w:hAnsi="Times New Roman" w:cs="Times New Roman"/>
          <w:sz w:val="24"/>
          <w:szCs w:val="24"/>
        </w:rPr>
        <w:t>osservato che l’articolo</w:t>
      </w:r>
      <w:r>
        <w:rPr>
          <w:rFonts w:ascii="Times New Roman" w:hAnsi="Times New Roman" w:cs="Times New Roman"/>
          <w:sz w:val="24"/>
          <w:szCs w:val="24"/>
        </w:rPr>
        <w:t xml:space="preserve"> 15, comma 15, e l’articolo 16, comma 8, rinviano, per la copertura degli oneri finanziari derivanti dall’estensione delle disposizioni in materia di DIS-COLL e di ASDI a periodi successivi a quelli co</w:t>
      </w:r>
      <w:r w:rsidR="00A33369">
        <w:rPr>
          <w:rFonts w:ascii="Times New Roman" w:hAnsi="Times New Roman" w:cs="Times New Roman"/>
          <w:sz w:val="24"/>
          <w:szCs w:val="24"/>
        </w:rPr>
        <w:t xml:space="preserve">nsiderati nel provvedimento, a stanziamenti </w:t>
      </w:r>
      <w:r>
        <w:rPr>
          <w:rFonts w:ascii="Times New Roman" w:hAnsi="Times New Roman" w:cs="Times New Roman"/>
          <w:sz w:val="24"/>
          <w:szCs w:val="24"/>
        </w:rPr>
        <w:t>previst</w:t>
      </w:r>
      <w:r w:rsidR="00A33369">
        <w:rPr>
          <w:rFonts w:ascii="Times New Roman" w:hAnsi="Times New Roman" w:cs="Times New Roman"/>
          <w:sz w:val="24"/>
          <w:szCs w:val="24"/>
        </w:rPr>
        <w:t>i</w:t>
      </w:r>
      <w:r>
        <w:rPr>
          <w:rFonts w:ascii="Times New Roman" w:hAnsi="Times New Roman" w:cs="Times New Roman"/>
          <w:sz w:val="24"/>
          <w:szCs w:val="24"/>
        </w:rPr>
        <w:t xml:space="preserve"> da successivi provvedimenti legislativi che </w:t>
      </w:r>
      <w:r w:rsidR="00A33369">
        <w:rPr>
          <w:rFonts w:ascii="Times New Roman" w:hAnsi="Times New Roman" w:cs="Times New Roman"/>
          <w:sz w:val="24"/>
          <w:szCs w:val="24"/>
        </w:rPr>
        <w:t>rendano disponibili</w:t>
      </w:r>
      <w:r>
        <w:rPr>
          <w:rFonts w:ascii="Times New Roman" w:hAnsi="Times New Roman" w:cs="Times New Roman"/>
          <w:sz w:val="24"/>
          <w:szCs w:val="24"/>
        </w:rPr>
        <w:t xml:space="preserve"> le occorrenti risorse finanziarie, richiamando in particolare quell</w:t>
      </w:r>
      <w:r w:rsidR="00A33369">
        <w:rPr>
          <w:rFonts w:ascii="Times New Roman" w:hAnsi="Times New Roman" w:cs="Times New Roman"/>
          <w:sz w:val="24"/>
          <w:szCs w:val="24"/>
        </w:rPr>
        <w:t>e</w:t>
      </w:r>
      <w:r>
        <w:rPr>
          <w:rFonts w:ascii="Times New Roman" w:hAnsi="Times New Roman" w:cs="Times New Roman"/>
          <w:sz w:val="24"/>
          <w:szCs w:val="24"/>
        </w:rPr>
        <w:t xml:space="preserve"> derivanti dai decreti legislativi di cui alla legge n. 183 del 2014;</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 xml:space="preserve">segnalato che, </w:t>
      </w:r>
      <w:r w:rsidRPr="000D6173">
        <w:rPr>
          <w:rFonts w:ascii="Times New Roman" w:hAnsi="Times New Roman" w:cs="Times New Roman"/>
          <w:sz w:val="24"/>
          <w:szCs w:val="24"/>
        </w:rPr>
        <w:t>nella relazione approvata dalla Commissione, nel corso dell’esame in seconda lettura della manovra di bilancio per il triennio 2015-2017, con riferimento allo stato di previsione del Ministero del lavoro e delle politiche sociali per l'anno finanziario 2015 e per il triennio 201</w:t>
      </w:r>
      <w:r>
        <w:rPr>
          <w:rFonts w:ascii="Times New Roman" w:hAnsi="Times New Roman" w:cs="Times New Roman"/>
          <w:sz w:val="24"/>
          <w:szCs w:val="24"/>
        </w:rPr>
        <w:t xml:space="preserve">5-2017, </w:t>
      </w:r>
      <w:r w:rsidR="00A33369">
        <w:rPr>
          <w:rFonts w:ascii="Times New Roman" w:hAnsi="Times New Roman" w:cs="Times New Roman"/>
          <w:sz w:val="24"/>
          <w:szCs w:val="24"/>
        </w:rPr>
        <w:t>si è evidenziata</w:t>
      </w:r>
      <w:r>
        <w:rPr>
          <w:rFonts w:ascii="Times New Roman" w:hAnsi="Times New Roman" w:cs="Times New Roman"/>
          <w:sz w:val="24"/>
          <w:szCs w:val="24"/>
        </w:rPr>
        <w:t xml:space="preserve"> </w:t>
      </w:r>
      <w:r w:rsidRPr="000D6173">
        <w:rPr>
          <w:rFonts w:ascii="Times New Roman" w:hAnsi="Times New Roman" w:cs="Times New Roman"/>
          <w:sz w:val="24"/>
          <w:szCs w:val="24"/>
        </w:rPr>
        <w:t xml:space="preserve">l'esigenza che, nel corso </w:t>
      </w:r>
      <w:r>
        <w:rPr>
          <w:rFonts w:ascii="Times New Roman" w:hAnsi="Times New Roman" w:cs="Times New Roman"/>
          <w:sz w:val="24"/>
          <w:szCs w:val="24"/>
        </w:rPr>
        <w:t>del presente esercizio</w:t>
      </w:r>
      <w:r w:rsidRPr="000D6173">
        <w:rPr>
          <w:rFonts w:ascii="Times New Roman" w:hAnsi="Times New Roman" w:cs="Times New Roman"/>
          <w:sz w:val="24"/>
          <w:szCs w:val="24"/>
        </w:rPr>
        <w:t xml:space="preserve">, </w:t>
      </w:r>
      <w:r>
        <w:rPr>
          <w:rFonts w:ascii="Times New Roman" w:hAnsi="Times New Roman" w:cs="Times New Roman"/>
          <w:sz w:val="24"/>
          <w:szCs w:val="24"/>
        </w:rPr>
        <w:t>fosse</w:t>
      </w:r>
      <w:r w:rsidRPr="000D6173">
        <w:rPr>
          <w:rFonts w:ascii="Times New Roman" w:hAnsi="Times New Roman" w:cs="Times New Roman"/>
          <w:sz w:val="24"/>
          <w:szCs w:val="24"/>
        </w:rPr>
        <w:t xml:space="preserve"> effettuato un attento monitoraggio della spesa destinata al finanziamento degli ammortizzatori sociali e </w:t>
      </w:r>
      <w:r>
        <w:rPr>
          <w:rFonts w:ascii="Times New Roman" w:hAnsi="Times New Roman" w:cs="Times New Roman"/>
          <w:sz w:val="24"/>
          <w:szCs w:val="24"/>
        </w:rPr>
        <w:t>fosse</w:t>
      </w:r>
      <w:r w:rsidRPr="000D6173">
        <w:rPr>
          <w:rFonts w:ascii="Times New Roman" w:hAnsi="Times New Roman" w:cs="Times New Roman"/>
          <w:sz w:val="24"/>
          <w:szCs w:val="24"/>
        </w:rPr>
        <w:t xml:space="preserve"> garantita l'effettiva disponibilità di un ammontare di risorse tale da assicurare, da un lato, la copertura finanziaria degli interventi previsti dalla legge 10 dicembre 2014, n. 183, e, dall'altro, una adeguata  tutela dei lavoratori beneficiari dei trattamenti, anche in deroga alla normativa vigente, attualmente previsti</w:t>
      </w:r>
      <w:r>
        <w:rPr>
          <w:rFonts w:ascii="Times New Roman" w:hAnsi="Times New Roman" w:cs="Times New Roman"/>
          <w:sz w:val="24"/>
          <w:szCs w:val="24"/>
        </w:rPr>
        <w:t>;</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 xml:space="preserve">rilevato che per effetto del provvedimento in esame e dello </w:t>
      </w:r>
      <w:r w:rsidRPr="005C42E1">
        <w:rPr>
          <w:rFonts w:ascii="Times New Roman" w:hAnsi="Times New Roman" w:cs="Times New Roman"/>
          <w:sz w:val="24"/>
          <w:szCs w:val="24"/>
        </w:rPr>
        <w:t>schema di decreto legislativo recante disposizioni in materia di contratto a tempo indeterminato a tutele crescenti, in attuazione della legge 10 dicembre 2014, n. 183 (Atto n. 134)</w:t>
      </w:r>
      <w:r>
        <w:rPr>
          <w:rFonts w:ascii="Times New Roman" w:hAnsi="Times New Roman" w:cs="Times New Roman"/>
          <w:sz w:val="24"/>
          <w:szCs w:val="24"/>
        </w:rPr>
        <w:t xml:space="preserve">, si determina un consistente utilizzo della dotazione del </w:t>
      </w:r>
      <w:r w:rsidRPr="005C42E1">
        <w:rPr>
          <w:rFonts w:ascii="Times New Roman" w:hAnsi="Times New Roman" w:cs="Times New Roman"/>
          <w:sz w:val="24"/>
          <w:szCs w:val="24"/>
        </w:rPr>
        <w:t>fondo</w:t>
      </w:r>
      <w:r>
        <w:rPr>
          <w:rFonts w:ascii="Times New Roman" w:hAnsi="Times New Roman" w:cs="Times New Roman"/>
          <w:sz w:val="24"/>
          <w:szCs w:val="24"/>
        </w:rPr>
        <w:t xml:space="preserve"> di cui all’articolo 1, comma 107, della legge 23 dicembre 2014, n. 190, finalizzato a </w:t>
      </w:r>
      <w:r w:rsidRPr="005C42E1">
        <w:rPr>
          <w:rFonts w:ascii="Times New Roman" w:hAnsi="Times New Roman" w:cs="Times New Roman"/>
          <w:sz w:val="24"/>
          <w:szCs w:val="24"/>
        </w:rPr>
        <w:t>fare fronte agli oneri derivanti dall’attuazione dei provvedimenti normativi di riforma</w:t>
      </w:r>
      <w:r>
        <w:rPr>
          <w:rFonts w:ascii="Times New Roman" w:hAnsi="Times New Roman" w:cs="Times New Roman"/>
          <w:sz w:val="24"/>
          <w:szCs w:val="24"/>
        </w:rPr>
        <w:t xml:space="preserve"> in materia di lavoro;</w:t>
      </w:r>
    </w:p>
    <w:p w:rsidR="00D835EC" w:rsidRPr="00F537BA" w:rsidRDefault="00D835EC" w:rsidP="00B01D3B">
      <w:pPr>
        <w:rPr>
          <w:rFonts w:ascii="Times New Roman" w:hAnsi="Times New Roman" w:cs="Times New Roman"/>
          <w:sz w:val="24"/>
          <w:szCs w:val="24"/>
        </w:rPr>
      </w:pPr>
      <w:r>
        <w:rPr>
          <w:rFonts w:ascii="Times New Roman" w:hAnsi="Times New Roman" w:cs="Times New Roman"/>
          <w:sz w:val="24"/>
          <w:szCs w:val="24"/>
        </w:rPr>
        <w:t>considerato, pertanto, essenziale individuare già nel corso dell’anno in corso le risorse necessarie ad assicurare la prosecuzione degli interventi di cui all’articolo 15, fino al superamento del</w:t>
      </w:r>
      <w:r w:rsidR="00A33369">
        <w:rPr>
          <w:rFonts w:ascii="Times New Roman" w:hAnsi="Times New Roman" w:cs="Times New Roman"/>
          <w:sz w:val="24"/>
          <w:szCs w:val="24"/>
        </w:rPr>
        <w:t xml:space="preserve"> </w:t>
      </w:r>
      <w:r w:rsidRPr="00F537BA">
        <w:rPr>
          <w:rFonts w:ascii="Times New Roman" w:hAnsi="Times New Roman" w:cs="Times New Roman"/>
          <w:sz w:val="24"/>
          <w:szCs w:val="24"/>
        </w:rPr>
        <w:t>contratto di collaborazione coordinata e conti</w:t>
      </w:r>
      <w:r>
        <w:rPr>
          <w:rFonts w:ascii="Times New Roman" w:hAnsi="Times New Roman" w:cs="Times New Roman"/>
          <w:sz w:val="24"/>
          <w:szCs w:val="24"/>
        </w:rPr>
        <w:t xml:space="preserve">nuativa, e all’articolo 16, anche al fine di assicurare la piena attuazione dei criteri di delega di cui all’articolo 1, comma 2, lettera </w:t>
      </w:r>
      <w:r>
        <w:rPr>
          <w:rFonts w:ascii="Times New Roman" w:hAnsi="Times New Roman" w:cs="Times New Roman"/>
          <w:i/>
          <w:iCs/>
          <w:sz w:val="24"/>
          <w:szCs w:val="24"/>
        </w:rPr>
        <w:t>b)</w:t>
      </w:r>
      <w:r>
        <w:rPr>
          <w:rFonts w:ascii="Times New Roman" w:hAnsi="Times New Roman" w:cs="Times New Roman"/>
          <w:sz w:val="24"/>
          <w:szCs w:val="24"/>
        </w:rPr>
        <w:t>, numeri 3 e 5;</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 xml:space="preserve">evidenziato che l’articolo 17, comma 2, riconosce ai lavoratori illegittimamente licenziati il diritto a ricevere un </w:t>
      </w:r>
      <w:r>
        <w:rPr>
          <w:rFonts w:ascii="Times New Roman" w:hAnsi="Times New Roman" w:cs="Times New Roman"/>
          <w:i/>
          <w:iCs/>
          <w:sz w:val="24"/>
          <w:szCs w:val="24"/>
        </w:rPr>
        <w:t xml:space="preserve">voucher </w:t>
      </w:r>
      <w:r>
        <w:rPr>
          <w:rFonts w:ascii="Times New Roman" w:hAnsi="Times New Roman" w:cs="Times New Roman"/>
          <w:sz w:val="24"/>
          <w:szCs w:val="24"/>
        </w:rPr>
        <w:t>rappresentativo della dote individuale di ricollocazione, mentre il comma 1 del medesimo articolo 17 prevede uno stanziamento limitato a 50 milioni di euro nell’anno 2015 e a 20 milioni di euro nell’anno 2016;</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rilevato che, in assenza di un rifinanziamento della misura ad opera di uno dei decreti legislativi attuativi dei criteri di delega di cui alla legge n. 183 del 2014, secondo quanto stabilito dall’articolo 17, comma 5, del provvedimento, tale diritto avrebbe nel 2016 una portata assai più limitata di quella riconosciuta nell’anno 2015, mentre nell’anno 2017 sarebbe sostanzialmente privo di effettività;</w:t>
      </w:r>
    </w:p>
    <w:p w:rsidR="00D835EC" w:rsidRPr="00A9510D" w:rsidRDefault="00D835EC" w:rsidP="00B01D3B">
      <w:pPr>
        <w:rPr>
          <w:rFonts w:ascii="Times New Roman" w:hAnsi="Times New Roman" w:cs="Times New Roman"/>
          <w:sz w:val="24"/>
          <w:szCs w:val="24"/>
        </w:rPr>
      </w:pPr>
      <w:r>
        <w:rPr>
          <w:rFonts w:ascii="Times New Roman" w:hAnsi="Times New Roman" w:cs="Times New Roman"/>
          <w:sz w:val="24"/>
          <w:szCs w:val="24"/>
        </w:rPr>
        <w:t xml:space="preserve">evidenziato, altresì, che la piena operatività del contratto di ricollocazione di cui all’articolo 17 è subordinata all’adozione di un ulteriore decreto legislativo attuativo dell’articolo 1, comma 4, della legge n. 183 del 2014, che dovrà regolamentare la definizione del profilo personale di occupabilità dei lavoratori, i diritti e i doveri connessi alla stipula dei contratti di ricollocazione tra lavoratori e agenzie per il lavoro, l’ammontare del </w:t>
      </w:r>
      <w:r>
        <w:rPr>
          <w:rFonts w:ascii="Times New Roman" w:hAnsi="Times New Roman" w:cs="Times New Roman"/>
          <w:i/>
          <w:iCs/>
          <w:sz w:val="24"/>
          <w:szCs w:val="24"/>
        </w:rPr>
        <w:t>voucher</w:t>
      </w:r>
      <w:r>
        <w:rPr>
          <w:rFonts w:ascii="Times New Roman" w:hAnsi="Times New Roman" w:cs="Times New Roman"/>
          <w:sz w:val="24"/>
          <w:szCs w:val="24"/>
        </w:rPr>
        <w:t xml:space="preserve">, nonché il risultato occupazionale che l’agenzia deve conseguire per incassare il medesimo </w:t>
      </w:r>
      <w:r>
        <w:rPr>
          <w:rFonts w:ascii="Times New Roman" w:hAnsi="Times New Roman" w:cs="Times New Roman"/>
          <w:i/>
          <w:iCs/>
          <w:sz w:val="24"/>
          <w:szCs w:val="24"/>
        </w:rPr>
        <w:t>voucher</w:t>
      </w:r>
      <w:r>
        <w:rPr>
          <w:rFonts w:ascii="Times New Roman" w:hAnsi="Times New Roman" w:cs="Times New Roman"/>
          <w:sz w:val="24"/>
          <w:szCs w:val="24"/>
        </w:rPr>
        <w:t>;</w:t>
      </w:r>
    </w:p>
    <w:p w:rsidR="00DF33AE" w:rsidRDefault="00DF33AE" w:rsidP="00B01D3B">
      <w:pPr>
        <w:rPr>
          <w:rFonts w:ascii="Times New Roman" w:hAnsi="Times New Roman" w:cs="Times New Roman"/>
          <w:sz w:val="24"/>
          <w:szCs w:val="24"/>
        </w:rPr>
      </w:pPr>
      <w:r>
        <w:rPr>
          <w:rFonts w:ascii="Times New Roman" w:hAnsi="Times New Roman" w:cs="Times New Roman"/>
          <w:sz w:val="24"/>
          <w:szCs w:val="24"/>
        </w:rPr>
        <w:t>segnalata l’esigenza di recepire il contenuto dell’intesa sancita</w:t>
      </w:r>
      <w:r w:rsidRPr="00DF33AE">
        <w:rPr>
          <w:rFonts w:ascii="Times New Roman" w:hAnsi="Times New Roman" w:cs="Times New Roman"/>
          <w:sz w:val="24"/>
          <w:szCs w:val="24"/>
        </w:rPr>
        <w:t xml:space="preserve"> </w:t>
      </w:r>
      <w:r>
        <w:rPr>
          <w:rFonts w:ascii="Times New Roman" w:hAnsi="Times New Roman" w:cs="Times New Roman"/>
          <w:sz w:val="24"/>
          <w:szCs w:val="24"/>
        </w:rPr>
        <w:t>dalla Conferenza permanente</w:t>
      </w:r>
      <w:r w:rsidRPr="00DF33AE">
        <w:rPr>
          <w:rFonts w:ascii="Times New Roman" w:hAnsi="Times New Roman" w:cs="Times New Roman"/>
          <w:sz w:val="24"/>
          <w:szCs w:val="24"/>
        </w:rPr>
        <w:t xml:space="preserve"> per i rapporti tra lo Stato, le Regioni e le Province autonome di Trento e Bolzano</w:t>
      </w:r>
      <w:r>
        <w:rPr>
          <w:rFonts w:ascii="Times New Roman" w:hAnsi="Times New Roman" w:cs="Times New Roman"/>
          <w:sz w:val="24"/>
          <w:szCs w:val="24"/>
        </w:rPr>
        <w:t xml:space="preserve"> il 12 febbraio 2015;</w:t>
      </w:r>
    </w:p>
    <w:p w:rsidR="00D835EC" w:rsidRDefault="00D835EC" w:rsidP="00B01D3B">
      <w:pPr>
        <w:rPr>
          <w:rFonts w:ascii="Times New Roman" w:hAnsi="Times New Roman" w:cs="Times New Roman"/>
          <w:sz w:val="24"/>
          <w:szCs w:val="24"/>
        </w:rPr>
      </w:pPr>
      <w:r>
        <w:rPr>
          <w:rFonts w:ascii="Times New Roman" w:hAnsi="Times New Roman" w:cs="Times New Roman"/>
          <w:sz w:val="24"/>
          <w:szCs w:val="24"/>
        </w:rPr>
        <w:t>esprime</w:t>
      </w:r>
    </w:p>
    <w:p w:rsidR="00D835EC" w:rsidRDefault="00D835EC" w:rsidP="00B01D3B">
      <w:pPr>
        <w:rPr>
          <w:rFonts w:ascii="Times New Roman" w:hAnsi="Times New Roman" w:cs="Times New Roman"/>
          <w:sz w:val="24"/>
          <w:szCs w:val="24"/>
        </w:rPr>
      </w:pPr>
    </w:p>
    <w:p w:rsidR="00D835EC" w:rsidRDefault="00D835EC" w:rsidP="00B01D3B">
      <w:pPr>
        <w:jc w:val="center"/>
        <w:rPr>
          <w:rFonts w:ascii="Times New Roman" w:hAnsi="Times New Roman" w:cs="Times New Roman"/>
          <w:sz w:val="24"/>
          <w:szCs w:val="24"/>
        </w:rPr>
      </w:pPr>
      <w:r>
        <w:rPr>
          <w:rFonts w:ascii="Times New Roman" w:hAnsi="Times New Roman" w:cs="Times New Roman"/>
          <w:sz w:val="24"/>
          <w:szCs w:val="24"/>
        </w:rPr>
        <w:t>PARERE FAVOREVOLE</w:t>
      </w:r>
    </w:p>
    <w:p w:rsidR="00D835EC" w:rsidRDefault="00D835EC" w:rsidP="00B01D3B">
      <w:pPr>
        <w:jc w:val="center"/>
        <w:rPr>
          <w:rFonts w:ascii="Times New Roman" w:hAnsi="Times New Roman" w:cs="Times New Roman"/>
          <w:sz w:val="24"/>
          <w:szCs w:val="24"/>
        </w:rPr>
      </w:pPr>
    </w:p>
    <w:p w:rsidR="00D835EC" w:rsidRDefault="00D835EC" w:rsidP="00B01D3B">
      <w:pPr>
        <w:rPr>
          <w:rFonts w:ascii="Times New Roman" w:hAnsi="Times New Roman" w:cs="Times New Roman"/>
          <w:i/>
          <w:iCs/>
          <w:sz w:val="24"/>
          <w:szCs w:val="24"/>
        </w:rPr>
      </w:pPr>
      <w:r>
        <w:rPr>
          <w:rFonts w:ascii="Times New Roman" w:hAnsi="Times New Roman" w:cs="Times New Roman"/>
          <w:i/>
          <w:iCs/>
          <w:sz w:val="24"/>
          <w:szCs w:val="24"/>
        </w:rPr>
        <w:t>con le seguenti condizioni:</w:t>
      </w:r>
    </w:p>
    <w:p w:rsidR="00D835EC" w:rsidRDefault="00D835EC" w:rsidP="00B01D3B">
      <w:pPr>
        <w:rPr>
          <w:rFonts w:ascii="Times New Roman" w:hAnsi="Times New Roman" w:cs="Times New Roman"/>
          <w:i/>
          <w:iCs/>
          <w:sz w:val="24"/>
          <w:szCs w:val="24"/>
        </w:rPr>
      </w:pPr>
    </w:p>
    <w:p w:rsidR="00230853" w:rsidRDefault="00230853" w:rsidP="00B01D3B">
      <w:pPr>
        <w:rPr>
          <w:rFonts w:ascii="Times New Roman" w:hAnsi="Times New Roman" w:cs="Times New Roman"/>
          <w:iCs/>
          <w:sz w:val="24"/>
          <w:szCs w:val="24"/>
        </w:rPr>
      </w:pPr>
      <w:r>
        <w:rPr>
          <w:rFonts w:ascii="Times New Roman" w:hAnsi="Times New Roman" w:cs="Times New Roman"/>
          <w:i/>
          <w:iCs/>
          <w:sz w:val="24"/>
          <w:szCs w:val="24"/>
        </w:rPr>
        <w:t xml:space="preserve">all’articolo 7, comma 3, dopo le parole: </w:t>
      </w:r>
      <w:r>
        <w:rPr>
          <w:rFonts w:ascii="Times New Roman" w:hAnsi="Times New Roman" w:cs="Times New Roman"/>
          <w:iCs/>
          <w:sz w:val="24"/>
          <w:szCs w:val="24"/>
        </w:rPr>
        <w:t xml:space="preserve">entrata in vigore del presente decreto </w:t>
      </w:r>
      <w:r>
        <w:rPr>
          <w:rFonts w:ascii="Times New Roman" w:hAnsi="Times New Roman" w:cs="Times New Roman"/>
          <w:i/>
          <w:iCs/>
          <w:sz w:val="24"/>
          <w:szCs w:val="24"/>
        </w:rPr>
        <w:t xml:space="preserve">aggiungere le seguenti: </w:t>
      </w:r>
      <w:r>
        <w:rPr>
          <w:rFonts w:ascii="Times New Roman" w:hAnsi="Times New Roman" w:cs="Times New Roman"/>
          <w:iCs/>
          <w:sz w:val="24"/>
          <w:szCs w:val="24"/>
        </w:rPr>
        <w:t xml:space="preserve">, sentita la Conferenza permanente per i rapporti tra lo Stato, le Regioni </w:t>
      </w:r>
      <w:r w:rsidR="0039261D">
        <w:rPr>
          <w:rFonts w:ascii="Times New Roman" w:hAnsi="Times New Roman" w:cs="Times New Roman"/>
          <w:iCs/>
          <w:sz w:val="24"/>
          <w:szCs w:val="24"/>
        </w:rPr>
        <w:t xml:space="preserve">e le Province </w:t>
      </w:r>
      <w:r w:rsidR="00E84C20">
        <w:rPr>
          <w:rFonts w:ascii="Times New Roman" w:hAnsi="Times New Roman" w:cs="Times New Roman"/>
          <w:iCs/>
          <w:sz w:val="24"/>
          <w:szCs w:val="24"/>
        </w:rPr>
        <w:t>autonome</w:t>
      </w:r>
      <w:r w:rsidR="0033511C">
        <w:rPr>
          <w:rFonts w:ascii="Times New Roman" w:hAnsi="Times New Roman" w:cs="Times New Roman"/>
          <w:iCs/>
          <w:sz w:val="24"/>
          <w:szCs w:val="24"/>
        </w:rPr>
        <w:t xml:space="preserve"> di Trento e di Bolzano</w:t>
      </w:r>
      <w:r w:rsidR="00E84C20">
        <w:rPr>
          <w:rFonts w:ascii="Times New Roman" w:hAnsi="Times New Roman" w:cs="Times New Roman"/>
          <w:iCs/>
          <w:sz w:val="24"/>
          <w:szCs w:val="24"/>
        </w:rPr>
        <w:t>, ;</w:t>
      </w:r>
    </w:p>
    <w:p w:rsidR="00E84C20" w:rsidRDefault="00E84C20" w:rsidP="00B01D3B">
      <w:pPr>
        <w:rPr>
          <w:rFonts w:ascii="Times New Roman" w:hAnsi="Times New Roman" w:cs="Times New Roman"/>
          <w:iCs/>
          <w:sz w:val="24"/>
          <w:szCs w:val="24"/>
        </w:rPr>
      </w:pPr>
    </w:p>
    <w:p w:rsidR="00E84C20" w:rsidRDefault="00E84C20" w:rsidP="00B01D3B">
      <w:pPr>
        <w:rPr>
          <w:rFonts w:ascii="Times New Roman" w:hAnsi="Times New Roman" w:cs="Times New Roman"/>
          <w:i/>
          <w:iCs/>
          <w:sz w:val="24"/>
          <w:szCs w:val="24"/>
        </w:rPr>
      </w:pPr>
      <w:r>
        <w:rPr>
          <w:rFonts w:ascii="Times New Roman" w:hAnsi="Times New Roman" w:cs="Times New Roman"/>
          <w:i/>
          <w:iCs/>
          <w:sz w:val="24"/>
          <w:szCs w:val="24"/>
        </w:rPr>
        <w:t xml:space="preserve">all’articolo 11, comma 1, alinea, premettere le parole: </w:t>
      </w:r>
      <w:r>
        <w:rPr>
          <w:rFonts w:ascii="Times New Roman" w:hAnsi="Times New Roman" w:cs="Times New Roman"/>
          <w:iCs/>
          <w:sz w:val="24"/>
          <w:szCs w:val="24"/>
        </w:rPr>
        <w:t xml:space="preserve">Ferme restando le sanzioni previste dal decreto di cui all’articolo 7, comma 3, </w:t>
      </w:r>
    </w:p>
    <w:p w:rsidR="00E84C20" w:rsidRDefault="00E84C20" w:rsidP="00B01D3B">
      <w:pPr>
        <w:rPr>
          <w:rFonts w:ascii="Times New Roman" w:hAnsi="Times New Roman" w:cs="Times New Roman"/>
          <w:iCs/>
          <w:sz w:val="24"/>
          <w:szCs w:val="24"/>
        </w:rPr>
      </w:pPr>
      <w:r>
        <w:rPr>
          <w:rFonts w:ascii="Times New Roman" w:hAnsi="Times New Roman" w:cs="Times New Roman"/>
          <w:i/>
          <w:iCs/>
          <w:sz w:val="24"/>
          <w:szCs w:val="24"/>
        </w:rPr>
        <w:t xml:space="preserve">Conseguentemente, al medesimo comma 1, sopprimere la lettera </w:t>
      </w:r>
      <w:r>
        <w:rPr>
          <w:rFonts w:ascii="Times New Roman" w:hAnsi="Times New Roman" w:cs="Times New Roman"/>
          <w:iCs/>
          <w:sz w:val="24"/>
          <w:szCs w:val="24"/>
        </w:rPr>
        <w:t>b).</w:t>
      </w:r>
    </w:p>
    <w:p w:rsidR="00E84C20" w:rsidRDefault="00E84C20" w:rsidP="00B01D3B">
      <w:pPr>
        <w:rPr>
          <w:rFonts w:ascii="Times New Roman" w:hAnsi="Times New Roman" w:cs="Times New Roman"/>
          <w:iCs/>
          <w:sz w:val="24"/>
          <w:szCs w:val="24"/>
        </w:rPr>
      </w:pPr>
    </w:p>
    <w:p w:rsidR="00E84C20" w:rsidRPr="00E84C20" w:rsidRDefault="00E84C20" w:rsidP="00E84C20">
      <w:pPr>
        <w:rPr>
          <w:rFonts w:ascii="Times New Roman" w:hAnsi="Times New Roman" w:cs="Times New Roman"/>
          <w:iCs/>
          <w:sz w:val="24"/>
          <w:szCs w:val="24"/>
        </w:rPr>
      </w:pPr>
      <w:r>
        <w:rPr>
          <w:rFonts w:ascii="Times New Roman" w:hAnsi="Times New Roman" w:cs="Times New Roman"/>
          <w:i/>
          <w:iCs/>
          <w:sz w:val="24"/>
          <w:szCs w:val="24"/>
        </w:rPr>
        <w:t xml:space="preserve">all’articolo 16, comma 6, alinea, dopo le parole: </w:t>
      </w:r>
      <w:r>
        <w:rPr>
          <w:rFonts w:ascii="Times New Roman" w:hAnsi="Times New Roman" w:cs="Times New Roman"/>
          <w:iCs/>
          <w:sz w:val="24"/>
          <w:szCs w:val="24"/>
        </w:rPr>
        <w:t xml:space="preserve">Ministro dell’economia e delle finanze </w:t>
      </w:r>
      <w:r>
        <w:rPr>
          <w:rFonts w:ascii="Times New Roman" w:hAnsi="Times New Roman" w:cs="Times New Roman"/>
          <w:i/>
          <w:iCs/>
          <w:sz w:val="24"/>
          <w:szCs w:val="24"/>
        </w:rPr>
        <w:t xml:space="preserve">aggiungere le seguenti: </w:t>
      </w:r>
      <w:r>
        <w:rPr>
          <w:rFonts w:ascii="Times New Roman" w:hAnsi="Times New Roman" w:cs="Times New Roman"/>
          <w:iCs/>
          <w:sz w:val="24"/>
          <w:szCs w:val="24"/>
        </w:rPr>
        <w:t xml:space="preserve">, sentita la Conferenza </w:t>
      </w:r>
      <w:r w:rsidRPr="00E84C20">
        <w:rPr>
          <w:rFonts w:ascii="Times New Roman" w:hAnsi="Times New Roman" w:cs="Times New Roman"/>
          <w:iCs/>
          <w:sz w:val="24"/>
          <w:szCs w:val="24"/>
        </w:rPr>
        <w:t>permanente per i rapporti tra lo Stato, le Regioni e le Province autonome</w:t>
      </w:r>
      <w:r w:rsidR="0033511C">
        <w:rPr>
          <w:rFonts w:ascii="Times New Roman" w:hAnsi="Times New Roman" w:cs="Times New Roman"/>
          <w:iCs/>
          <w:sz w:val="24"/>
          <w:szCs w:val="24"/>
        </w:rPr>
        <w:t xml:space="preserve"> di Trento e di Bolzano</w:t>
      </w:r>
      <w:r>
        <w:rPr>
          <w:rFonts w:ascii="Times New Roman" w:hAnsi="Times New Roman" w:cs="Times New Roman"/>
          <w:iCs/>
          <w:sz w:val="24"/>
          <w:szCs w:val="24"/>
        </w:rPr>
        <w:t xml:space="preserve">, </w:t>
      </w:r>
      <w:r w:rsidRPr="00E84C20">
        <w:rPr>
          <w:rFonts w:ascii="Times New Roman" w:hAnsi="Times New Roman" w:cs="Times New Roman"/>
          <w:iCs/>
          <w:sz w:val="24"/>
          <w:szCs w:val="24"/>
        </w:rPr>
        <w:t>;</w:t>
      </w:r>
    </w:p>
    <w:p w:rsidR="00E84C20" w:rsidRDefault="00E84C20" w:rsidP="00E84C20">
      <w:pPr>
        <w:rPr>
          <w:rFonts w:ascii="Times New Roman" w:hAnsi="Times New Roman" w:cs="Times New Roman"/>
          <w:i/>
          <w:iCs/>
          <w:sz w:val="24"/>
          <w:szCs w:val="24"/>
        </w:rPr>
      </w:pPr>
    </w:p>
    <w:p w:rsidR="00D835EC" w:rsidRDefault="00E84C20" w:rsidP="00B01D3B">
      <w:pPr>
        <w:rPr>
          <w:rFonts w:ascii="Times New Roman" w:hAnsi="Times New Roman" w:cs="Times New Roman"/>
          <w:iCs/>
          <w:sz w:val="24"/>
          <w:szCs w:val="24"/>
        </w:rPr>
      </w:pPr>
      <w:r>
        <w:rPr>
          <w:rFonts w:ascii="Times New Roman" w:hAnsi="Times New Roman" w:cs="Times New Roman"/>
          <w:i/>
          <w:iCs/>
          <w:sz w:val="24"/>
          <w:szCs w:val="24"/>
        </w:rPr>
        <w:t>sostituire l’articolo 17 con il seguente:</w:t>
      </w:r>
      <w:r>
        <w:rPr>
          <w:rFonts w:ascii="Times New Roman" w:hAnsi="Times New Roman" w:cs="Times New Roman"/>
          <w:iCs/>
          <w:sz w:val="24"/>
          <w:szCs w:val="24"/>
        </w:rPr>
        <w:t xml:space="preserve"> </w:t>
      </w:r>
      <w:r w:rsidRPr="00E84C20">
        <w:rPr>
          <w:rFonts w:ascii="Times New Roman" w:hAnsi="Times New Roman" w:cs="Times New Roman"/>
          <w:iCs/>
          <w:smallCaps/>
          <w:sz w:val="24"/>
          <w:szCs w:val="24"/>
        </w:rPr>
        <w:t>Art.</w:t>
      </w:r>
      <w:r w:rsidRPr="00E84C20">
        <w:rPr>
          <w:rFonts w:ascii="Times New Roman" w:hAnsi="Times New Roman" w:cs="Times New Roman"/>
          <w:iCs/>
          <w:sz w:val="24"/>
          <w:szCs w:val="24"/>
        </w:rPr>
        <w:t xml:space="preserve"> </w:t>
      </w:r>
      <w:r>
        <w:rPr>
          <w:rFonts w:ascii="Times New Roman" w:hAnsi="Times New Roman" w:cs="Times New Roman"/>
          <w:iCs/>
          <w:sz w:val="24"/>
          <w:szCs w:val="24"/>
        </w:rPr>
        <w:t xml:space="preserve">17. - </w:t>
      </w:r>
      <w:r>
        <w:rPr>
          <w:rFonts w:ascii="Times New Roman" w:hAnsi="Times New Roman" w:cs="Times New Roman"/>
          <w:i/>
          <w:iCs/>
          <w:sz w:val="24"/>
          <w:szCs w:val="24"/>
        </w:rPr>
        <w:t xml:space="preserve">(Contratto di ricollocazione). </w:t>
      </w:r>
      <w:r w:rsidR="005D2D80">
        <w:rPr>
          <w:rFonts w:ascii="Times New Roman" w:hAnsi="Times New Roman" w:cs="Times New Roman"/>
          <w:i/>
          <w:iCs/>
          <w:sz w:val="24"/>
          <w:szCs w:val="24"/>
        </w:rPr>
        <w:t>–</w:t>
      </w:r>
      <w:r>
        <w:rPr>
          <w:rFonts w:ascii="Times New Roman" w:hAnsi="Times New Roman" w:cs="Times New Roman"/>
          <w:i/>
          <w:iCs/>
          <w:sz w:val="24"/>
          <w:szCs w:val="24"/>
        </w:rPr>
        <w:t xml:space="preserve"> </w:t>
      </w:r>
      <w:r w:rsidR="005D2D80">
        <w:rPr>
          <w:rFonts w:ascii="Times New Roman" w:hAnsi="Times New Roman" w:cs="Times New Roman"/>
          <w:iCs/>
          <w:sz w:val="24"/>
          <w:szCs w:val="24"/>
        </w:rPr>
        <w:t xml:space="preserve">1. Il Fondo per le politiche attive del lavoro, istituito dall’articolo 1, comma 215, della legge 27 dicembre 2013, n. 147, è incrementato per l’anno 2015 di 32 milioni di euro provenienti dal gettito relativo al contributo di cui all’articolo 2, comma 31, della legge 28 giugno 2012, n. 92. Nel rispetto dei principi del presente decreto, le Regioni, nell’ambito </w:t>
      </w:r>
      <w:r w:rsidR="0033511C">
        <w:rPr>
          <w:rFonts w:ascii="Times New Roman" w:hAnsi="Times New Roman" w:cs="Times New Roman"/>
          <w:iCs/>
          <w:sz w:val="24"/>
          <w:szCs w:val="24"/>
        </w:rPr>
        <w:t>della</w:t>
      </w:r>
      <w:r w:rsidR="000E1DBF" w:rsidRPr="000E1DBF">
        <w:rPr>
          <w:rFonts w:ascii="Times New Roman" w:hAnsi="Times New Roman" w:cs="Times New Roman"/>
          <w:iCs/>
          <w:sz w:val="24"/>
          <w:szCs w:val="24"/>
        </w:rPr>
        <w:t xml:space="preserve"> programmazione d</w:t>
      </w:r>
      <w:r w:rsidR="0033511C">
        <w:rPr>
          <w:rFonts w:ascii="Times New Roman" w:hAnsi="Times New Roman" w:cs="Times New Roman"/>
          <w:iCs/>
          <w:sz w:val="24"/>
          <w:szCs w:val="24"/>
        </w:rPr>
        <w:t>elle</w:t>
      </w:r>
      <w:r w:rsidR="000E1DBF" w:rsidRPr="000E1DBF">
        <w:rPr>
          <w:rFonts w:ascii="Times New Roman" w:hAnsi="Times New Roman" w:cs="Times New Roman"/>
          <w:iCs/>
          <w:sz w:val="24"/>
          <w:szCs w:val="24"/>
        </w:rPr>
        <w:t xml:space="preserve"> politiche attive del lavoro</w:t>
      </w:r>
      <w:r w:rsidR="005D2D80">
        <w:rPr>
          <w:rFonts w:ascii="Times New Roman" w:hAnsi="Times New Roman" w:cs="Times New Roman"/>
          <w:iCs/>
          <w:sz w:val="24"/>
          <w:szCs w:val="24"/>
        </w:rPr>
        <w:t xml:space="preserve">, </w:t>
      </w:r>
      <w:r w:rsidR="000E1DBF">
        <w:rPr>
          <w:rFonts w:ascii="Times New Roman" w:hAnsi="Times New Roman" w:cs="Times New Roman"/>
          <w:iCs/>
          <w:sz w:val="24"/>
          <w:szCs w:val="24"/>
        </w:rPr>
        <w:t>di cui a</w:t>
      </w:r>
      <w:r w:rsidR="005D2D80">
        <w:rPr>
          <w:rFonts w:ascii="Times New Roman" w:hAnsi="Times New Roman" w:cs="Times New Roman"/>
          <w:iCs/>
          <w:sz w:val="24"/>
          <w:szCs w:val="24"/>
        </w:rPr>
        <w:t xml:space="preserve">ll’articolo 1, comma, lettera </w:t>
      </w:r>
      <w:r w:rsidR="005D2D80">
        <w:rPr>
          <w:rFonts w:ascii="Times New Roman" w:hAnsi="Times New Roman" w:cs="Times New Roman"/>
          <w:i/>
          <w:iCs/>
          <w:sz w:val="24"/>
          <w:szCs w:val="24"/>
        </w:rPr>
        <w:t>u)</w:t>
      </w:r>
      <w:r w:rsidR="005D2D80">
        <w:rPr>
          <w:rFonts w:ascii="Times New Roman" w:hAnsi="Times New Roman" w:cs="Times New Roman"/>
          <w:iCs/>
          <w:sz w:val="24"/>
          <w:szCs w:val="24"/>
        </w:rPr>
        <w:t xml:space="preserve">, della legge 10 dicembre 2014, n. 183, possono </w:t>
      </w:r>
      <w:r w:rsidR="000E1DBF">
        <w:rPr>
          <w:rFonts w:ascii="Times New Roman" w:hAnsi="Times New Roman" w:cs="Times New Roman"/>
          <w:iCs/>
          <w:sz w:val="24"/>
          <w:szCs w:val="24"/>
        </w:rPr>
        <w:t>attuare e finanziare il contratto di ricollocazione.</w:t>
      </w:r>
    </w:p>
    <w:p w:rsidR="000E1DBF" w:rsidRDefault="000E1DBF" w:rsidP="00B01D3B">
      <w:pPr>
        <w:rPr>
          <w:rFonts w:ascii="Times New Roman" w:hAnsi="Times New Roman" w:cs="Times New Roman"/>
          <w:iCs/>
          <w:sz w:val="24"/>
          <w:szCs w:val="24"/>
        </w:rPr>
      </w:pPr>
      <w:r>
        <w:rPr>
          <w:rFonts w:ascii="Times New Roman" w:hAnsi="Times New Roman" w:cs="Times New Roman"/>
          <w:iCs/>
          <w:sz w:val="24"/>
          <w:szCs w:val="24"/>
        </w:rPr>
        <w:t xml:space="preserve">2. Il soggetto in stato di disoccupazione, ai sensi dell’articolo 1, comma 2, lettera </w:t>
      </w:r>
      <w:r>
        <w:rPr>
          <w:rFonts w:ascii="Times New Roman" w:hAnsi="Times New Roman" w:cs="Times New Roman"/>
          <w:i/>
          <w:iCs/>
          <w:sz w:val="24"/>
          <w:szCs w:val="24"/>
        </w:rPr>
        <w:t>c)</w:t>
      </w:r>
      <w:r>
        <w:rPr>
          <w:rFonts w:ascii="Times New Roman" w:hAnsi="Times New Roman" w:cs="Times New Roman"/>
          <w:iCs/>
          <w:sz w:val="24"/>
          <w:szCs w:val="24"/>
        </w:rPr>
        <w:t>, del decreto legislativo 21 aprile 2000, n. 181, ha diritto di ricevere dai servizi per il lavoro pubblici o dai soggetti privati accreditati un servizio</w:t>
      </w:r>
      <w:r w:rsidR="009767E0">
        <w:rPr>
          <w:rFonts w:ascii="Times New Roman" w:hAnsi="Times New Roman" w:cs="Times New Roman"/>
          <w:iCs/>
          <w:sz w:val="24"/>
          <w:szCs w:val="24"/>
        </w:rPr>
        <w:t xml:space="preserve"> di assistenza intensiva nella ricerca del lavoro attraverso la stipulazione del contratto di ricollocazione, finanziato ai sensi del comma 1, a condizione che il soggetto effettui la procedura di definizione del profilo personale di occupabilità, ai sensi del decreto legislativo di cui all’articolo 1, comma 4, </w:t>
      </w:r>
      <w:r w:rsidR="009767E0" w:rsidRPr="009767E0">
        <w:rPr>
          <w:rFonts w:ascii="Times New Roman" w:hAnsi="Times New Roman" w:cs="Times New Roman"/>
          <w:iCs/>
          <w:sz w:val="24"/>
          <w:szCs w:val="24"/>
        </w:rPr>
        <w:t>della legge 10 dicembre 2014, n. 183,</w:t>
      </w:r>
      <w:r w:rsidR="009767E0">
        <w:rPr>
          <w:rFonts w:ascii="Times New Roman" w:hAnsi="Times New Roman" w:cs="Times New Roman"/>
          <w:iCs/>
          <w:sz w:val="24"/>
          <w:szCs w:val="24"/>
        </w:rPr>
        <w:t xml:space="preserve"> in materia di politiche attive per l’impiego.</w:t>
      </w:r>
    </w:p>
    <w:p w:rsidR="009767E0" w:rsidRDefault="009767E0" w:rsidP="00B01D3B">
      <w:pPr>
        <w:rPr>
          <w:rFonts w:ascii="Times New Roman" w:hAnsi="Times New Roman" w:cs="Times New Roman"/>
          <w:iCs/>
          <w:sz w:val="24"/>
          <w:szCs w:val="24"/>
        </w:rPr>
      </w:pPr>
      <w:r>
        <w:rPr>
          <w:rFonts w:ascii="Times New Roman" w:hAnsi="Times New Roman" w:cs="Times New Roman"/>
          <w:iCs/>
          <w:sz w:val="24"/>
          <w:szCs w:val="24"/>
        </w:rPr>
        <w:t>3. A seguito della definizione del profilo personale di occupabilità, al soggetto è riconosciuta una dote individuale di ricollocazione spendibile presso i soggetti accreditati.</w:t>
      </w:r>
    </w:p>
    <w:p w:rsidR="001D123D" w:rsidRDefault="001D123D" w:rsidP="00B01D3B">
      <w:pPr>
        <w:rPr>
          <w:rFonts w:ascii="Times New Roman" w:hAnsi="Times New Roman" w:cs="Times New Roman"/>
          <w:iCs/>
          <w:sz w:val="24"/>
          <w:szCs w:val="24"/>
        </w:rPr>
      </w:pPr>
      <w:r>
        <w:rPr>
          <w:rFonts w:ascii="Times New Roman" w:hAnsi="Times New Roman" w:cs="Times New Roman"/>
          <w:iCs/>
          <w:sz w:val="24"/>
          <w:szCs w:val="24"/>
        </w:rPr>
        <w:t>4. Il contratto di ricollocazione prevede:</w:t>
      </w:r>
    </w:p>
    <w:p w:rsidR="001D123D" w:rsidRDefault="001D123D" w:rsidP="00B01D3B">
      <w:pPr>
        <w:rPr>
          <w:rFonts w:ascii="Times New Roman" w:hAnsi="Times New Roman" w:cs="Times New Roman"/>
          <w:iCs/>
          <w:sz w:val="24"/>
          <w:szCs w:val="24"/>
        </w:rPr>
      </w:pPr>
      <w:r>
        <w:rPr>
          <w:rFonts w:ascii="Times New Roman" w:hAnsi="Times New Roman" w:cs="Times New Roman"/>
          <w:i/>
          <w:iCs/>
          <w:sz w:val="24"/>
          <w:szCs w:val="24"/>
        </w:rPr>
        <w:t>a)</w:t>
      </w:r>
      <w:r>
        <w:rPr>
          <w:rFonts w:ascii="Times New Roman" w:hAnsi="Times New Roman" w:cs="Times New Roman"/>
          <w:iCs/>
          <w:sz w:val="24"/>
          <w:szCs w:val="24"/>
        </w:rPr>
        <w:t xml:space="preserve"> il diritto del soggetto a un’assistenza appropriata nella ricerca della nuova occupazione, programmata, strutturata e gestita secondo le migliori tecniche del settore, da parte del soggetto accreditato;</w:t>
      </w:r>
    </w:p>
    <w:p w:rsidR="001D123D" w:rsidRDefault="001D123D" w:rsidP="00B01D3B">
      <w:pPr>
        <w:rPr>
          <w:rFonts w:ascii="Times New Roman" w:hAnsi="Times New Roman" w:cs="Times New Roman"/>
          <w:iCs/>
          <w:sz w:val="24"/>
          <w:szCs w:val="24"/>
        </w:rPr>
      </w:pPr>
      <w:r>
        <w:rPr>
          <w:rFonts w:ascii="Times New Roman" w:hAnsi="Times New Roman" w:cs="Times New Roman"/>
          <w:i/>
          <w:iCs/>
          <w:sz w:val="24"/>
          <w:szCs w:val="24"/>
        </w:rPr>
        <w:t xml:space="preserve">b) </w:t>
      </w:r>
      <w:r>
        <w:rPr>
          <w:rFonts w:ascii="Times New Roman" w:hAnsi="Times New Roman" w:cs="Times New Roman"/>
          <w:iCs/>
          <w:sz w:val="24"/>
          <w:szCs w:val="24"/>
        </w:rPr>
        <w:t>il dovere del soggetto di rendersi parte attiva rispetto alle iniziative proposte dal soggetto accreditato;</w:t>
      </w:r>
    </w:p>
    <w:p w:rsidR="001D123D" w:rsidRPr="001D123D" w:rsidRDefault="001D123D" w:rsidP="00B01D3B">
      <w:pPr>
        <w:rPr>
          <w:rFonts w:ascii="Times New Roman" w:hAnsi="Times New Roman" w:cs="Times New Roman"/>
          <w:iCs/>
          <w:sz w:val="24"/>
          <w:szCs w:val="24"/>
        </w:rPr>
      </w:pPr>
      <w:r>
        <w:rPr>
          <w:rFonts w:ascii="Times New Roman" w:hAnsi="Times New Roman" w:cs="Times New Roman"/>
          <w:i/>
          <w:iCs/>
          <w:sz w:val="24"/>
          <w:szCs w:val="24"/>
        </w:rPr>
        <w:t xml:space="preserve">c) </w:t>
      </w:r>
      <w:r>
        <w:rPr>
          <w:rFonts w:ascii="Times New Roman" w:hAnsi="Times New Roman" w:cs="Times New Roman"/>
          <w:iCs/>
          <w:sz w:val="24"/>
          <w:szCs w:val="24"/>
        </w:rPr>
        <w:t xml:space="preserve">il diritto del soggetto a partecipare alle iniziative di ricerca, addestramento e riqualificazione professionale mirate a sbocchi occupazionali coerenti con il fabbisogno espresso dal mercato del lavoro, organizzate e predisposte dal soggetto accreditato. </w:t>
      </w:r>
    </w:p>
    <w:p w:rsidR="001D123D" w:rsidRPr="000E1DBF" w:rsidRDefault="001D123D" w:rsidP="00B01D3B">
      <w:pPr>
        <w:rPr>
          <w:rFonts w:ascii="Times New Roman" w:hAnsi="Times New Roman" w:cs="Times New Roman"/>
          <w:iCs/>
          <w:sz w:val="24"/>
          <w:szCs w:val="24"/>
        </w:rPr>
      </w:pPr>
      <w:r>
        <w:rPr>
          <w:rFonts w:ascii="Times New Roman" w:hAnsi="Times New Roman" w:cs="Times New Roman"/>
          <w:iCs/>
          <w:sz w:val="24"/>
          <w:szCs w:val="24"/>
        </w:rPr>
        <w:t xml:space="preserve">5. L’ammontare della dote individuale è proporzionato </w:t>
      </w:r>
      <w:r w:rsidR="00566C05">
        <w:rPr>
          <w:rFonts w:ascii="Times New Roman" w:hAnsi="Times New Roman" w:cs="Times New Roman"/>
          <w:iCs/>
          <w:sz w:val="24"/>
          <w:szCs w:val="24"/>
        </w:rPr>
        <w:t xml:space="preserve">in relazione </w:t>
      </w:r>
      <w:r>
        <w:rPr>
          <w:rFonts w:ascii="Times New Roman" w:hAnsi="Times New Roman" w:cs="Times New Roman"/>
          <w:iCs/>
          <w:sz w:val="24"/>
          <w:szCs w:val="24"/>
        </w:rPr>
        <w:t>al profilo personale di occupabilità e il soggetto accreditato ha diritto di incassarlo soltanto a risultato occupazionale ottenuto, secondo quanto stabilito dal decreto legislativo di cui al comma 2.</w:t>
      </w:r>
    </w:p>
    <w:p w:rsidR="001D123D" w:rsidRDefault="000E1DBF" w:rsidP="000E1DBF">
      <w:pPr>
        <w:rPr>
          <w:rFonts w:ascii="Times New Roman" w:hAnsi="Times New Roman" w:cs="Times New Roman"/>
          <w:iCs/>
          <w:sz w:val="24"/>
          <w:szCs w:val="24"/>
        </w:rPr>
      </w:pPr>
      <w:r>
        <w:rPr>
          <w:rFonts w:ascii="Times New Roman" w:hAnsi="Times New Roman" w:cs="Times New Roman"/>
          <w:iCs/>
          <w:sz w:val="24"/>
          <w:szCs w:val="24"/>
        </w:rPr>
        <w:t xml:space="preserve">6. </w:t>
      </w:r>
      <w:r w:rsidRPr="000E1DBF">
        <w:rPr>
          <w:rFonts w:ascii="Times New Roman" w:hAnsi="Times New Roman" w:cs="Times New Roman"/>
          <w:iCs/>
          <w:sz w:val="24"/>
          <w:szCs w:val="24"/>
        </w:rPr>
        <w:t>Il soggett</w:t>
      </w:r>
      <w:r w:rsidR="001D123D">
        <w:rPr>
          <w:rFonts w:ascii="Times New Roman" w:hAnsi="Times New Roman" w:cs="Times New Roman"/>
          <w:iCs/>
          <w:sz w:val="24"/>
          <w:szCs w:val="24"/>
        </w:rPr>
        <w:t>o decade dalla dote individuale in caso di:</w:t>
      </w:r>
    </w:p>
    <w:p w:rsidR="001D123D" w:rsidRDefault="001D123D" w:rsidP="000E1DBF">
      <w:pPr>
        <w:rPr>
          <w:rFonts w:ascii="Times New Roman" w:hAnsi="Times New Roman" w:cs="Times New Roman"/>
          <w:iCs/>
          <w:sz w:val="24"/>
          <w:szCs w:val="24"/>
        </w:rPr>
      </w:pPr>
      <w:r w:rsidRPr="001D123D">
        <w:rPr>
          <w:rFonts w:ascii="Times New Roman" w:hAnsi="Times New Roman" w:cs="Times New Roman"/>
          <w:i/>
          <w:iCs/>
          <w:sz w:val="24"/>
          <w:szCs w:val="24"/>
        </w:rPr>
        <w:t>a)</w:t>
      </w:r>
      <w:r>
        <w:rPr>
          <w:rFonts w:ascii="Times New Roman" w:hAnsi="Times New Roman" w:cs="Times New Roman"/>
          <w:iCs/>
          <w:sz w:val="24"/>
          <w:szCs w:val="24"/>
        </w:rPr>
        <w:t xml:space="preserve"> </w:t>
      </w:r>
      <w:r w:rsidR="000E1DBF" w:rsidRPr="000E1DBF">
        <w:rPr>
          <w:rFonts w:ascii="Times New Roman" w:hAnsi="Times New Roman" w:cs="Times New Roman"/>
          <w:iCs/>
          <w:sz w:val="24"/>
          <w:szCs w:val="24"/>
        </w:rPr>
        <w:t>mancata partecipazione alle iniziative previste dall</w:t>
      </w:r>
      <w:r w:rsidR="000E1DBF">
        <w:rPr>
          <w:rFonts w:ascii="Times New Roman" w:hAnsi="Times New Roman" w:cs="Times New Roman"/>
          <w:iCs/>
          <w:sz w:val="24"/>
          <w:szCs w:val="24"/>
        </w:rPr>
        <w:t>e</w:t>
      </w:r>
      <w:r w:rsidR="000E1DBF" w:rsidRPr="000E1DBF">
        <w:rPr>
          <w:rFonts w:ascii="Times New Roman" w:hAnsi="Times New Roman" w:cs="Times New Roman"/>
          <w:iCs/>
          <w:sz w:val="24"/>
          <w:szCs w:val="24"/>
        </w:rPr>
        <w:t xml:space="preserve"> lett</w:t>
      </w:r>
      <w:r w:rsidR="000E1DBF">
        <w:rPr>
          <w:rFonts w:ascii="Times New Roman" w:hAnsi="Times New Roman" w:cs="Times New Roman"/>
          <w:iCs/>
          <w:sz w:val="24"/>
          <w:szCs w:val="24"/>
        </w:rPr>
        <w:t xml:space="preserve">ere </w:t>
      </w:r>
      <w:r w:rsidR="000E1DBF" w:rsidRPr="000E1DBF">
        <w:rPr>
          <w:rFonts w:ascii="Times New Roman" w:hAnsi="Times New Roman" w:cs="Times New Roman"/>
          <w:i/>
          <w:iCs/>
          <w:sz w:val="24"/>
          <w:szCs w:val="24"/>
        </w:rPr>
        <w:t>b)</w:t>
      </w:r>
      <w:r w:rsidR="000E1DBF">
        <w:rPr>
          <w:rFonts w:ascii="Times New Roman" w:hAnsi="Times New Roman" w:cs="Times New Roman"/>
          <w:iCs/>
          <w:sz w:val="24"/>
          <w:szCs w:val="24"/>
        </w:rPr>
        <w:t xml:space="preserve"> e</w:t>
      </w:r>
      <w:r w:rsidR="000E1DBF" w:rsidRPr="000E1DBF">
        <w:rPr>
          <w:rFonts w:ascii="Times New Roman" w:hAnsi="Times New Roman" w:cs="Times New Roman"/>
          <w:iCs/>
          <w:sz w:val="24"/>
          <w:szCs w:val="24"/>
        </w:rPr>
        <w:t xml:space="preserve"> </w:t>
      </w:r>
      <w:r w:rsidR="000E1DBF" w:rsidRPr="000E1DBF">
        <w:rPr>
          <w:rFonts w:ascii="Times New Roman" w:hAnsi="Times New Roman" w:cs="Times New Roman"/>
          <w:i/>
          <w:iCs/>
          <w:sz w:val="24"/>
          <w:szCs w:val="24"/>
        </w:rPr>
        <w:t>c)</w:t>
      </w:r>
      <w:r w:rsidR="000E1DBF" w:rsidRPr="000E1DBF">
        <w:rPr>
          <w:rFonts w:ascii="Times New Roman" w:hAnsi="Times New Roman" w:cs="Times New Roman"/>
          <w:iCs/>
          <w:sz w:val="24"/>
          <w:szCs w:val="24"/>
        </w:rPr>
        <w:t xml:space="preserve"> del comma </w:t>
      </w:r>
      <w:r w:rsidR="000E1DBF">
        <w:rPr>
          <w:rFonts w:ascii="Times New Roman" w:hAnsi="Times New Roman" w:cs="Times New Roman"/>
          <w:iCs/>
          <w:sz w:val="24"/>
          <w:szCs w:val="24"/>
        </w:rPr>
        <w:t>4</w:t>
      </w:r>
      <w:r>
        <w:rPr>
          <w:rFonts w:ascii="Times New Roman" w:hAnsi="Times New Roman" w:cs="Times New Roman"/>
          <w:iCs/>
          <w:sz w:val="24"/>
          <w:szCs w:val="24"/>
        </w:rPr>
        <w:t>;</w:t>
      </w:r>
    </w:p>
    <w:p w:rsidR="001D123D" w:rsidRDefault="001D123D" w:rsidP="000E1DBF">
      <w:pPr>
        <w:rPr>
          <w:rFonts w:ascii="Times New Roman" w:hAnsi="Times New Roman" w:cs="Times New Roman"/>
          <w:iCs/>
          <w:sz w:val="24"/>
          <w:szCs w:val="24"/>
        </w:rPr>
      </w:pPr>
      <w:r w:rsidRPr="001D123D">
        <w:rPr>
          <w:rFonts w:ascii="Times New Roman" w:hAnsi="Times New Roman" w:cs="Times New Roman"/>
          <w:i/>
          <w:iCs/>
          <w:sz w:val="24"/>
          <w:szCs w:val="24"/>
        </w:rPr>
        <w:lastRenderedPageBreak/>
        <w:t>b)</w:t>
      </w:r>
      <w:r>
        <w:rPr>
          <w:rFonts w:ascii="Times New Roman" w:hAnsi="Times New Roman" w:cs="Times New Roman"/>
          <w:iCs/>
          <w:sz w:val="24"/>
          <w:szCs w:val="24"/>
        </w:rPr>
        <w:t xml:space="preserve"> </w:t>
      </w:r>
      <w:r w:rsidR="000E1DBF" w:rsidRPr="000E1DBF">
        <w:rPr>
          <w:rFonts w:ascii="Times New Roman" w:hAnsi="Times New Roman" w:cs="Times New Roman"/>
          <w:iCs/>
          <w:sz w:val="24"/>
          <w:szCs w:val="24"/>
        </w:rPr>
        <w:t xml:space="preserve">rifiuto </w:t>
      </w:r>
      <w:r w:rsidR="000E1DBF">
        <w:rPr>
          <w:rFonts w:ascii="Times New Roman" w:hAnsi="Times New Roman" w:cs="Times New Roman"/>
          <w:iCs/>
          <w:sz w:val="24"/>
          <w:szCs w:val="24"/>
        </w:rPr>
        <w:t>senza giustificato motivo di una congru</w:t>
      </w:r>
      <w:r w:rsidR="000E1DBF" w:rsidRPr="000E1DBF">
        <w:rPr>
          <w:rFonts w:ascii="Times New Roman" w:hAnsi="Times New Roman" w:cs="Times New Roman"/>
          <w:iCs/>
          <w:sz w:val="24"/>
          <w:szCs w:val="24"/>
        </w:rPr>
        <w:t xml:space="preserve">a </w:t>
      </w:r>
      <w:r w:rsidR="000E1DBF">
        <w:rPr>
          <w:rFonts w:ascii="Times New Roman" w:hAnsi="Times New Roman" w:cs="Times New Roman"/>
          <w:iCs/>
          <w:sz w:val="24"/>
          <w:szCs w:val="24"/>
        </w:rPr>
        <w:t>offerta</w:t>
      </w:r>
      <w:r w:rsidR="000E1DBF" w:rsidRPr="000E1DBF">
        <w:rPr>
          <w:rFonts w:ascii="Times New Roman" w:hAnsi="Times New Roman" w:cs="Times New Roman"/>
          <w:iCs/>
          <w:sz w:val="24"/>
          <w:szCs w:val="24"/>
        </w:rPr>
        <w:t xml:space="preserve"> di lavoro </w:t>
      </w:r>
      <w:r w:rsidR="000E1DBF">
        <w:rPr>
          <w:rFonts w:ascii="Times New Roman" w:hAnsi="Times New Roman" w:cs="Times New Roman"/>
          <w:iCs/>
          <w:sz w:val="24"/>
          <w:szCs w:val="24"/>
        </w:rPr>
        <w:t xml:space="preserve">ai sensi dell’articolo 4, comma 1, lettera </w:t>
      </w:r>
      <w:r w:rsidR="000E1DBF">
        <w:rPr>
          <w:rFonts w:ascii="Times New Roman" w:hAnsi="Times New Roman" w:cs="Times New Roman"/>
          <w:i/>
          <w:iCs/>
          <w:sz w:val="24"/>
          <w:szCs w:val="24"/>
        </w:rPr>
        <w:t>c)</w:t>
      </w:r>
      <w:r w:rsidR="000E1DBF">
        <w:rPr>
          <w:rFonts w:ascii="Times New Roman" w:hAnsi="Times New Roman" w:cs="Times New Roman"/>
          <w:iCs/>
          <w:sz w:val="24"/>
          <w:szCs w:val="24"/>
        </w:rPr>
        <w:t xml:space="preserve">, del decreto legislativo 21 aprile 2000, n. 181, </w:t>
      </w:r>
      <w:r>
        <w:rPr>
          <w:rFonts w:ascii="Times New Roman" w:hAnsi="Times New Roman" w:cs="Times New Roman"/>
          <w:iCs/>
          <w:sz w:val="24"/>
          <w:szCs w:val="24"/>
        </w:rPr>
        <w:t>pervenuta in seguito all’</w:t>
      </w:r>
      <w:r w:rsidR="000E1DBF" w:rsidRPr="000E1DBF">
        <w:rPr>
          <w:rFonts w:ascii="Times New Roman" w:hAnsi="Times New Roman" w:cs="Times New Roman"/>
          <w:iCs/>
          <w:sz w:val="24"/>
          <w:szCs w:val="24"/>
        </w:rPr>
        <w:t>attività di accompagna</w:t>
      </w:r>
      <w:r w:rsidR="000E1DBF">
        <w:rPr>
          <w:rFonts w:ascii="Times New Roman" w:hAnsi="Times New Roman" w:cs="Times New Roman"/>
          <w:iCs/>
          <w:sz w:val="24"/>
          <w:szCs w:val="24"/>
        </w:rPr>
        <w:t>men</w:t>
      </w:r>
      <w:r>
        <w:rPr>
          <w:rFonts w:ascii="Times New Roman" w:hAnsi="Times New Roman" w:cs="Times New Roman"/>
          <w:iCs/>
          <w:sz w:val="24"/>
          <w:szCs w:val="24"/>
        </w:rPr>
        <w:t>to attivo al lavoro;</w:t>
      </w:r>
    </w:p>
    <w:p w:rsidR="001D123D" w:rsidRDefault="001D123D" w:rsidP="000E1DBF">
      <w:pPr>
        <w:rPr>
          <w:rFonts w:ascii="Times New Roman" w:hAnsi="Times New Roman" w:cs="Times New Roman"/>
          <w:iCs/>
          <w:sz w:val="24"/>
          <w:szCs w:val="24"/>
        </w:rPr>
      </w:pPr>
      <w:r w:rsidRPr="00600BF0">
        <w:rPr>
          <w:rFonts w:ascii="Times New Roman" w:hAnsi="Times New Roman" w:cs="Times New Roman"/>
          <w:i/>
          <w:iCs/>
          <w:sz w:val="24"/>
          <w:szCs w:val="24"/>
        </w:rPr>
        <w:t>c)</w:t>
      </w:r>
      <w:r w:rsidR="000E1DBF" w:rsidRPr="000E1DBF">
        <w:rPr>
          <w:rFonts w:ascii="Times New Roman" w:hAnsi="Times New Roman" w:cs="Times New Roman"/>
          <w:iCs/>
          <w:sz w:val="24"/>
          <w:szCs w:val="24"/>
        </w:rPr>
        <w:t xml:space="preserve"> perdita dello stato di disoccupazione.</w:t>
      </w:r>
    </w:p>
    <w:p w:rsidR="00E84C20" w:rsidRPr="000E1DBF" w:rsidRDefault="000E1DBF" w:rsidP="000E1DBF">
      <w:pPr>
        <w:rPr>
          <w:rFonts w:ascii="Times New Roman" w:hAnsi="Times New Roman" w:cs="Times New Roman"/>
          <w:iCs/>
          <w:sz w:val="24"/>
          <w:szCs w:val="24"/>
        </w:rPr>
      </w:pPr>
      <w:r>
        <w:rPr>
          <w:rFonts w:ascii="Times New Roman" w:hAnsi="Times New Roman" w:cs="Times New Roman"/>
          <w:iCs/>
          <w:sz w:val="24"/>
          <w:szCs w:val="24"/>
        </w:rPr>
        <w:t>7</w:t>
      </w:r>
      <w:r w:rsidRPr="000E1DBF">
        <w:rPr>
          <w:rFonts w:ascii="Times New Roman" w:hAnsi="Times New Roman" w:cs="Times New Roman"/>
          <w:iCs/>
          <w:sz w:val="24"/>
          <w:szCs w:val="24"/>
        </w:rPr>
        <w:t xml:space="preserve">. All’eventuale estensione del rifinanziamento del </w:t>
      </w:r>
      <w:r>
        <w:rPr>
          <w:rFonts w:ascii="Times New Roman" w:hAnsi="Times New Roman" w:cs="Times New Roman"/>
          <w:iCs/>
          <w:sz w:val="24"/>
          <w:szCs w:val="24"/>
        </w:rPr>
        <w:t>Fo</w:t>
      </w:r>
      <w:r w:rsidRPr="000E1DBF">
        <w:rPr>
          <w:rFonts w:ascii="Times New Roman" w:hAnsi="Times New Roman" w:cs="Times New Roman"/>
          <w:iCs/>
          <w:sz w:val="24"/>
          <w:szCs w:val="24"/>
        </w:rPr>
        <w:t>ndo di cui al comma 1 per gli anni successivi al 2015 si provvede con quota parte delle risorse derivanti dai decreti legislativi attuativi dei criteri di delega di cui alla legge 10 dicembre 2014, n. 183.</w:t>
      </w:r>
    </w:p>
    <w:p w:rsidR="000E1DBF" w:rsidRDefault="000E1DBF" w:rsidP="00B01D3B">
      <w:pPr>
        <w:rPr>
          <w:rFonts w:ascii="Times New Roman" w:hAnsi="Times New Roman" w:cs="Times New Roman"/>
          <w:i/>
          <w:iCs/>
          <w:sz w:val="24"/>
          <w:szCs w:val="24"/>
        </w:rPr>
      </w:pPr>
    </w:p>
    <w:p w:rsidR="00D835EC" w:rsidRDefault="00D835EC" w:rsidP="00B01D3B">
      <w:pPr>
        <w:rPr>
          <w:rFonts w:ascii="Times New Roman" w:hAnsi="Times New Roman" w:cs="Times New Roman"/>
          <w:i/>
          <w:iCs/>
          <w:sz w:val="24"/>
          <w:szCs w:val="24"/>
        </w:rPr>
      </w:pPr>
      <w:r>
        <w:rPr>
          <w:rFonts w:ascii="Times New Roman" w:hAnsi="Times New Roman" w:cs="Times New Roman"/>
          <w:i/>
          <w:iCs/>
          <w:sz w:val="24"/>
          <w:szCs w:val="24"/>
        </w:rPr>
        <w:t>e le seguenti osservazioni:</w:t>
      </w:r>
    </w:p>
    <w:p w:rsidR="00D835EC" w:rsidRPr="00600BF0" w:rsidRDefault="00D835EC" w:rsidP="00B01D3B">
      <w:pPr>
        <w:rPr>
          <w:rFonts w:ascii="Times New Roman" w:hAnsi="Times New Roman" w:cs="Times New Roman"/>
          <w:iCs/>
          <w:sz w:val="24"/>
          <w:szCs w:val="24"/>
        </w:rPr>
      </w:pPr>
    </w:p>
    <w:p w:rsidR="00AC6FE6" w:rsidRPr="00600BF0" w:rsidRDefault="00AC6FE6" w:rsidP="00B01D3B">
      <w:pPr>
        <w:rPr>
          <w:rFonts w:ascii="Times New Roman" w:hAnsi="Times New Roman" w:cs="Times New Roman"/>
          <w:iCs/>
          <w:sz w:val="24"/>
          <w:szCs w:val="24"/>
        </w:rPr>
      </w:pPr>
      <w:r w:rsidRPr="00600BF0">
        <w:rPr>
          <w:rFonts w:ascii="Times New Roman" w:hAnsi="Times New Roman" w:cs="Times New Roman"/>
          <w:iCs/>
          <w:sz w:val="24"/>
          <w:szCs w:val="24"/>
        </w:rPr>
        <w:t>valuti il Governo l’esigenza di individuare le risorse necessarie ad assicurare il riconoscimento della contribuzione figurativa, senza limiti di retribuzione, nei casi di fruizione della NASpI e della DIS-COLL, anche al fine di garantire adeguati trattamenti pensionistici grazie alla creazione di montanti contributivi più rilevanti e meno frammentati;</w:t>
      </w:r>
    </w:p>
    <w:p w:rsidR="00AC6FE6" w:rsidRPr="00600BF0" w:rsidRDefault="00AC6FE6" w:rsidP="00B01D3B">
      <w:pPr>
        <w:rPr>
          <w:rFonts w:ascii="Times New Roman" w:hAnsi="Times New Roman" w:cs="Times New Roman"/>
          <w:iCs/>
          <w:sz w:val="24"/>
          <w:szCs w:val="24"/>
        </w:rPr>
      </w:pPr>
    </w:p>
    <w:p w:rsidR="00A917E2" w:rsidRPr="00600BF0" w:rsidRDefault="00AC6FE6" w:rsidP="00AC6FE6">
      <w:pPr>
        <w:rPr>
          <w:rFonts w:ascii="Times New Roman" w:hAnsi="Times New Roman" w:cs="Times New Roman"/>
          <w:iCs/>
          <w:sz w:val="24"/>
          <w:szCs w:val="24"/>
        </w:rPr>
      </w:pPr>
      <w:r w:rsidRPr="00600BF0">
        <w:rPr>
          <w:rFonts w:ascii="Times New Roman" w:hAnsi="Times New Roman" w:cs="Times New Roman"/>
          <w:iCs/>
          <w:sz w:val="24"/>
          <w:szCs w:val="24"/>
        </w:rPr>
        <w:t>valuti il Governo l’esigenza di introdurre correttivi ai criteri di calcolo della durata della NASpI prevista dall’articolo 5 che tengano conto della necessità di non penalizzare i lavoratori stagionali, eventualmente prevedendo una disciplina transitoria per la detrazione, ai fini di tale calcolo, dei periodi che hanno già dato luogo ad erogazioni di prestazioni di assicurazione per l’impiego</w:t>
      </w:r>
    </w:p>
    <w:p w:rsidR="00A917E2" w:rsidRPr="00600BF0" w:rsidRDefault="00A917E2" w:rsidP="00AC6FE6">
      <w:pPr>
        <w:rPr>
          <w:rFonts w:ascii="Times New Roman" w:hAnsi="Times New Roman" w:cs="Times New Roman"/>
          <w:bCs/>
          <w:iCs/>
          <w:sz w:val="24"/>
          <w:szCs w:val="24"/>
        </w:rPr>
      </w:pPr>
    </w:p>
    <w:p w:rsidR="00AC6FE6" w:rsidRPr="00600BF0" w:rsidRDefault="00A917E2" w:rsidP="00AC6FE6">
      <w:pPr>
        <w:rPr>
          <w:rFonts w:ascii="Times New Roman" w:hAnsi="Times New Roman" w:cs="Times New Roman"/>
          <w:iCs/>
          <w:sz w:val="24"/>
          <w:szCs w:val="24"/>
        </w:rPr>
      </w:pPr>
      <w:r w:rsidRPr="00600BF0">
        <w:rPr>
          <w:rFonts w:ascii="Times New Roman" w:hAnsi="Times New Roman" w:cs="Times New Roman"/>
          <w:iCs/>
          <w:sz w:val="24"/>
          <w:szCs w:val="24"/>
        </w:rPr>
        <w:t xml:space="preserve">con riferimento ai criteri di calcolo della durata della NASpI di cui all’articolo 5, valuti il Governo </w:t>
      </w:r>
      <w:r w:rsidR="00AC6FE6" w:rsidRPr="00600BF0">
        <w:rPr>
          <w:rFonts w:ascii="Times New Roman" w:hAnsi="Times New Roman" w:cs="Times New Roman"/>
          <w:iCs/>
          <w:sz w:val="24"/>
          <w:szCs w:val="24"/>
        </w:rPr>
        <w:t>l’esigenza di garantire adeguate tutele per i lavoratori con età anagrafica più elevata che negli anni considerati ai fini della determinazione della durata del trattamento abbiano avuto una carriera contributiva discontinua, tenuto conto delle maggiori difficoltà esistenti ai fini di una loro ricollocazione;</w:t>
      </w:r>
    </w:p>
    <w:p w:rsidR="00AC6FE6" w:rsidRPr="00600BF0" w:rsidRDefault="00AC6FE6" w:rsidP="00AC6FE6">
      <w:pPr>
        <w:rPr>
          <w:rFonts w:ascii="Times New Roman" w:hAnsi="Times New Roman" w:cs="Times New Roman"/>
          <w:iCs/>
          <w:sz w:val="24"/>
          <w:szCs w:val="24"/>
        </w:rPr>
      </w:pPr>
    </w:p>
    <w:p w:rsidR="00AC6FE6" w:rsidRPr="00600BF0" w:rsidRDefault="00AC6FE6" w:rsidP="00AC6FE6">
      <w:pPr>
        <w:rPr>
          <w:rFonts w:ascii="Times New Roman" w:hAnsi="Times New Roman" w:cs="Times New Roman"/>
          <w:iCs/>
          <w:sz w:val="24"/>
          <w:szCs w:val="24"/>
        </w:rPr>
      </w:pPr>
      <w:r w:rsidRPr="00600BF0">
        <w:rPr>
          <w:rFonts w:ascii="Times New Roman" w:hAnsi="Times New Roman" w:cs="Times New Roman"/>
          <w:iCs/>
          <w:sz w:val="24"/>
          <w:szCs w:val="24"/>
        </w:rPr>
        <w:t>con riferimento all’attuazione del principio di condizionalità ai fini dell’erogazione della NASpI, valuti il Governo l’opportunità di prevedere nel decreto di cui all’articolo 7, comma 3, che nell’ambito dei percorsi di riqualificazione professionale sia favorito il conseguimento, da parte dei lavoratori interessati, di qualifiche e diplomi di istruzione e formazione professionale, nonché di certificati e diplomi di specializzazione tecnica superiore, anche mediante il riconoscimento di specifici crediti formativi;</w:t>
      </w:r>
    </w:p>
    <w:p w:rsidR="00AC6FE6" w:rsidRPr="00600BF0" w:rsidRDefault="00AC6FE6" w:rsidP="00AC6FE6">
      <w:pPr>
        <w:rPr>
          <w:rFonts w:ascii="Times New Roman" w:hAnsi="Times New Roman" w:cs="Times New Roman"/>
          <w:iCs/>
          <w:sz w:val="24"/>
          <w:szCs w:val="24"/>
        </w:rPr>
      </w:pPr>
    </w:p>
    <w:p w:rsidR="00AC6FE6" w:rsidRPr="00600BF0" w:rsidRDefault="00AC6FE6" w:rsidP="00AC6FE6">
      <w:pPr>
        <w:rPr>
          <w:rFonts w:ascii="Times New Roman" w:hAnsi="Times New Roman" w:cs="Times New Roman"/>
          <w:iCs/>
          <w:sz w:val="24"/>
          <w:szCs w:val="24"/>
        </w:rPr>
      </w:pPr>
      <w:r w:rsidRPr="00600BF0">
        <w:rPr>
          <w:rFonts w:ascii="Times New Roman" w:hAnsi="Times New Roman" w:cs="Times New Roman"/>
          <w:iCs/>
          <w:sz w:val="24"/>
          <w:szCs w:val="24"/>
        </w:rPr>
        <w:t>valuti il Governo l’opportunità di prevedere, all’articolo 16, comma 1, che, fermo restando l’ammontare delle risorse stanziate nell’ambito del Fondo di cui all’articolo 16, comma 7, l’ASDI sia riconosciuta anche a quanti nell’anno 2015 abbiano completato la fruizione dell’ASpI per la sua intera durata, siano privi di occupazione e si trovino in una condizione economica di bisogno;</w:t>
      </w:r>
    </w:p>
    <w:p w:rsidR="00AC6FE6" w:rsidRPr="00600BF0" w:rsidRDefault="00AC6FE6" w:rsidP="00AC6FE6">
      <w:pPr>
        <w:rPr>
          <w:rFonts w:ascii="Times New Roman" w:hAnsi="Times New Roman" w:cs="Times New Roman"/>
          <w:iCs/>
          <w:sz w:val="24"/>
          <w:szCs w:val="24"/>
        </w:rPr>
      </w:pPr>
    </w:p>
    <w:p w:rsidR="00AC6FE6" w:rsidRPr="00600BF0" w:rsidRDefault="00AC6FE6" w:rsidP="00AC6FE6">
      <w:pPr>
        <w:rPr>
          <w:rFonts w:ascii="Times New Roman" w:hAnsi="Times New Roman" w:cs="Times New Roman"/>
          <w:iCs/>
          <w:sz w:val="24"/>
          <w:szCs w:val="24"/>
        </w:rPr>
      </w:pPr>
      <w:r w:rsidRPr="00600BF0">
        <w:rPr>
          <w:rFonts w:ascii="Times New Roman" w:hAnsi="Times New Roman" w:cs="Times New Roman"/>
          <w:iCs/>
          <w:sz w:val="24"/>
          <w:szCs w:val="24"/>
        </w:rPr>
        <w:t>valuti il Governo l’opportunità di rivedere i criteri di determinazione dell’ammontare dell’ASDI, individuati dall’articolo 16, comma 3, al fine di stabilire, fermo restando l’ammontare delle risorse stanziate nell’ambito del Fondo di cui all’articolo 16, comma 7, un importo in valore assoluto dell’assegno, correlato alle esigenza di garantire un livello di vita decoroso, escludendo un rapporto diretto tra l’ammontare della prestazione e quello dell’ultima indennità NASpI percepita;</w:t>
      </w:r>
    </w:p>
    <w:p w:rsidR="00AC6FE6" w:rsidRPr="00600BF0" w:rsidRDefault="00AC6FE6" w:rsidP="00B01D3B">
      <w:pPr>
        <w:rPr>
          <w:rFonts w:ascii="Times New Roman" w:hAnsi="Times New Roman" w:cs="Times New Roman"/>
          <w:iCs/>
          <w:sz w:val="24"/>
          <w:szCs w:val="24"/>
        </w:rPr>
      </w:pPr>
    </w:p>
    <w:p w:rsidR="00D835EC" w:rsidRPr="00600BF0" w:rsidRDefault="00D835EC" w:rsidP="00B01D3B">
      <w:pPr>
        <w:rPr>
          <w:rFonts w:ascii="Times New Roman" w:hAnsi="Times New Roman" w:cs="Times New Roman"/>
          <w:iCs/>
          <w:sz w:val="24"/>
          <w:szCs w:val="24"/>
        </w:rPr>
      </w:pPr>
      <w:r w:rsidRPr="00600BF0">
        <w:rPr>
          <w:rFonts w:ascii="Times New Roman" w:hAnsi="Times New Roman" w:cs="Times New Roman"/>
          <w:iCs/>
          <w:sz w:val="24"/>
          <w:szCs w:val="24"/>
        </w:rPr>
        <w:t>con riferimento alla formulazione del provvedimento valuti il Governo l’opportunità di:</w:t>
      </w:r>
    </w:p>
    <w:p w:rsidR="00D835EC" w:rsidRDefault="00D835EC" w:rsidP="00B01D3B">
      <w:pPr>
        <w:rPr>
          <w:rFonts w:ascii="Times New Roman" w:hAnsi="Times New Roman" w:cs="Times New Roman"/>
          <w:i/>
          <w:iCs/>
          <w:sz w:val="24"/>
          <w:szCs w:val="24"/>
        </w:rPr>
      </w:pPr>
      <w:r>
        <w:rPr>
          <w:rFonts w:ascii="Times New Roman" w:hAnsi="Times New Roman" w:cs="Times New Roman"/>
          <w:i/>
          <w:iCs/>
          <w:sz w:val="24"/>
          <w:szCs w:val="24"/>
        </w:rPr>
        <w:lastRenderedPageBreak/>
        <w:t>a)</w:t>
      </w:r>
      <w:r w:rsidR="00600BF0">
        <w:rPr>
          <w:rFonts w:ascii="Times New Roman" w:hAnsi="Times New Roman" w:cs="Times New Roman"/>
          <w:i/>
          <w:iCs/>
          <w:sz w:val="24"/>
          <w:szCs w:val="24"/>
        </w:rPr>
        <w:t xml:space="preserve"> </w:t>
      </w:r>
      <w:r w:rsidRPr="00600BF0">
        <w:rPr>
          <w:rFonts w:ascii="Times New Roman" w:hAnsi="Times New Roman" w:cs="Times New Roman"/>
          <w:iCs/>
          <w:sz w:val="24"/>
          <w:szCs w:val="24"/>
        </w:rPr>
        <w:t>prevedere che il decreto previsto dall’articolo 7, comma 3, individui le sanzioni anche per l’inottemperanza agli obblighi di partecipazione alle azioni di politica attiva di cui al comma 2 del medesimo articolo 7;</w:t>
      </w:r>
    </w:p>
    <w:p w:rsidR="00D835EC" w:rsidRPr="00600BF0" w:rsidRDefault="00AC6FE6" w:rsidP="00B01D3B">
      <w:pPr>
        <w:rPr>
          <w:rFonts w:ascii="Times New Roman" w:hAnsi="Times New Roman" w:cs="Times New Roman"/>
          <w:iCs/>
          <w:sz w:val="24"/>
          <w:szCs w:val="24"/>
        </w:rPr>
      </w:pPr>
      <w:r>
        <w:rPr>
          <w:rFonts w:ascii="Times New Roman" w:hAnsi="Times New Roman" w:cs="Times New Roman"/>
          <w:i/>
          <w:iCs/>
          <w:sz w:val="24"/>
          <w:szCs w:val="24"/>
        </w:rPr>
        <w:t>b</w:t>
      </w:r>
      <w:r w:rsidR="00D835EC">
        <w:rPr>
          <w:rFonts w:ascii="Times New Roman" w:hAnsi="Times New Roman" w:cs="Times New Roman"/>
          <w:i/>
          <w:iCs/>
          <w:sz w:val="24"/>
          <w:szCs w:val="24"/>
        </w:rPr>
        <w:t xml:space="preserve">) </w:t>
      </w:r>
      <w:r w:rsidR="00D835EC" w:rsidRPr="00600BF0">
        <w:rPr>
          <w:rFonts w:ascii="Times New Roman" w:hAnsi="Times New Roman" w:cs="Times New Roman"/>
          <w:iCs/>
          <w:sz w:val="24"/>
          <w:szCs w:val="24"/>
        </w:rPr>
        <w:t xml:space="preserve">fare riferimento, all’articolo 13, comma 1, ai fini della corresponsione della NASpI nella misura di cui all’articolo 4, non solo al personale artistico, ma al personale artistico, teatrale e cinematografico, in conformità alla disciplina prevista a legislazione vigente in attuazione del combinato disposto dell’articolo 2, commi 1, 2, 38 e 69, lettera </w:t>
      </w:r>
      <w:r w:rsidR="00D835EC" w:rsidRPr="00600BF0">
        <w:rPr>
          <w:rFonts w:ascii="Times New Roman" w:hAnsi="Times New Roman" w:cs="Times New Roman"/>
          <w:sz w:val="24"/>
          <w:szCs w:val="24"/>
        </w:rPr>
        <w:t>c)</w:t>
      </w:r>
      <w:r w:rsidR="00D835EC" w:rsidRPr="00600BF0">
        <w:rPr>
          <w:rFonts w:ascii="Times New Roman" w:hAnsi="Times New Roman" w:cs="Times New Roman"/>
          <w:iCs/>
          <w:sz w:val="24"/>
          <w:szCs w:val="24"/>
        </w:rPr>
        <w:t>,</w:t>
      </w:r>
      <w:r w:rsidR="00407DDC" w:rsidRPr="00600BF0">
        <w:rPr>
          <w:rFonts w:ascii="Times New Roman" w:hAnsi="Times New Roman" w:cs="Times New Roman"/>
          <w:iCs/>
          <w:sz w:val="24"/>
          <w:szCs w:val="24"/>
        </w:rPr>
        <w:t xml:space="preserve"> </w:t>
      </w:r>
      <w:r w:rsidR="00D835EC" w:rsidRPr="00600BF0">
        <w:rPr>
          <w:rFonts w:ascii="Times New Roman" w:hAnsi="Times New Roman" w:cs="Times New Roman"/>
          <w:iCs/>
          <w:sz w:val="24"/>
          <w:szCs w:val="24"/>
        </w:rPr>
        <w:t>della legge 28 giugno 2012, n. 92;</w:t>
      </w:r>
    </w:p>
    <w:p w:rsidR="00D835EC" w:rsidRPr="00600BF0" w:rsidRDefault="00AC6FE6" w:rsidP="00B01D3B">
      <w:pPr>
        <w:rPr>
          <w:rFonts w:ascii="Times New Roman" w:hAnsi="Times New Roman" w:cs="Times New Roman"/>
          <w:iCs/>
          <w:sz w:val="24"/>
          <w:szCs w:val="24"/>
        </w:rPr>
      </w:pPr>
      <w:r>
        <w:rPr>
          <w:rFonts w:ascii="Times New Roman" w:hAnsi="Times New Roman" w:cs="Times New Roman"/>
          <w:i/>
          <w:iCs/>
          <w:sz w:val="24"/>
          <w:szCs w:val="24"/>
        </w:rPr>
        <w:t>c</w:t>
      </w:r>
      <w:r w:rsidR="00D835EC">
        <w:rPr>
          <w:rFonts w:ascii="Times New Roman" w:hAnsi="Times New Roman" w:cs="Times New Roman"/>
          <w:i/>
          <w:iCs/>
          <w:sz w:val="24"/>
          <w:szCs w:val="24"/>
        </w:rPr>
        <w:t xml:space="preserve">) </w:t>
      </w:r>
      <w:r w:rsidR="00D835EC" w:rsidRPr="00600BF0">
        <w:rPr>
          <w:rFonts w:ascii="Times New Roman" w:hAnsi="Times New Roman" w:cs="Times New Roman"/>
          <w:iCs/>
          <w:sz w:val="24"/>
          <w:szCs w:val="24"/>
        </w:rPr>
        <w:t>individuare in modo puntuale, all’articolo 14, le disposizioni in materia di ASpI che permangono applicabili alla NASpI, anche al fine di agevolare la ricostruzione della nuova disciplina ed escludere incertezze nella sua applicazione, assicurando in particolare che:</w:t>
      </w:r>
    </w:p>
    <w:p w:rsidR="00D835EC" w:rsidRPr="00600BF0" w:rsidRDefault="00D835EC" w:rsidP="00B01D3B">
      <w:pPr>
        <w:rPr>
          <w:rFonts w:ascii="Times New Roman" w:hAnsi="Times New Roman" w:cs="Times New Roman"/>
          <w:iCs/>
          <w:sz w:val="24"/>
          <w:szCs w:val="24"/>
        </w:rPr>
      </w:pPr>
      <w:r>
        <w:rPr>
          <w:rFonts w:ascii="Times New Roman" w:hAnsi="Times New Roman" w:cs="Times New Roman"/>
          <w:i/>
          <w:iCs/>
          <w:sz w:val="24"/>
          <w:szCs w:val="24"/>
        </w:rPr>
        <w:t xml:space="preserve">1) </w:t>
      </w:r>
      <w:r w:rsidRPr="00600BF0">
        <w:rPr>
          <w:rFonts w:ascii="Times New Roman" w:hAnsi="Times New Roman" w:cs="Times New Roman"/>
          <w:iCs/>
          <w:sz w:val="24"/>
          <w:szCs w:val="24"/>
        </w:rPr>
        <w:t>l’ASpI continui ad essere riconosciuta fino al termine dell’anno 2015 ai lavoratori sospesi per crisi aziendali o occupazionali secondo quanto previsto dall’articolo 3, commi 17 e 18, della legge 28 giugno 2012, n. 92;</w:t>
      </w:r>
    </w:p>
    <w:p w:rsidR="00D835EC" w:rsidRPr="00600BF0" w:rsidRDefault="00D835EC" w:rsidP="00B01D3B">
      <w:pPr>
        <w:rPr>
          <w:rFonts w:ascii="Times New Roman" w:hAnsi="Times New Roman" w:cs="Times New Roman"/>
          <w:iCs/>
          <w:sz w:val="24"/>
          <w:szCs w:val="24"/>
        </w:rPr>
      </w:pPr>
      <w:r>
        <w:rPr>
          <w:rFonts w:ascii="Times New Roman" w:hAnsi="Times New Roman" w:cs="Times New Roman"/>
          <w:i/>
          <w:iCs/>
          <w:sz w:val="24"/>
          <w:szCs w:val="24"/>
        </w:rPr>
        <w:t xml:space="preserve">2) </w:t>
      </w:r>
      <w:r w:rsidRPr="00600BF0">
        <w:rPr>
          <w:rFonts w:ascii="Times New Roman" w:hAnsi="Times New Roman" w:cs="Times New Roman"/>
          <w:iCs/>
          <w:sz w:val="24"/>
          <w:szCs w:val="24"/>
        </w:rPr>
        <w:t>ai fini del riconoscimento del diritto alla NASpI continuino a essere considerate equivalenti alla perdita involontaria dell’occupazione le dimissioni volontarie di cui all’articolo 55 del testo unico delle disposizioni legislative in materia di tutela e sostegno della maternità e della paternità di cui al decreto legislativo 26 marzo 2001, n. 151,</w:t>
      </w:r>
      <w:r w:rsidR="00566C05">
        <w:rPr>
          <w:rFonts w:ascii="Times New Roman" w:hAnsi="Times New Roman" w:cs="Times New Roman"/>
          <w:iCs/>
          <w:sz w:val="24"/>
          <w:szCs w:val="24"/>
        </w:rPr>
        <w:t xml:space="preserve"> </w:t>
      </w:r>
      <w:r w:rsidRPr="00600BF0">
        <w:rPr>
          <w:rFonts w:ascii="Times New Roman" w:hAnsi="Times New Roman" w:cs="Times New Roman"/>
          <w:iCs/>
          <w:sz w:val="24"/>
          <w:szCs w:val="24"/>
        </w:rPr>
        <w:t>nonché quelle avvenute per giusta causa;</w:t>
      </w:r>
    </w:p>
    <w:p w:rsidR="00D835EC" w:rsidRPr="00600BF0" w:rsidRDefault="00AC6FE6">
      <w:pPr>
        <w:rPr>
          <w:rFonts w:ascii="Times New Roman" w:hAnsi="Times New Roman" w:cs="Times New Roman"/>
          <w:iCs/>
          <w:sz w:val="24"/>
          <w:szCs w:val="24"/>
        </w:rPr>
      </w:pPr>
      <w:r>
        <w:rPr>
          <w:rFonts w:ascii="Times New Roman" w:hAnsi="Times New Roman" w:cs="Times New Roman"/>
          <w:i/>
          <w:iCs/>
          <w:sz w:val="24"/>
          <w:szCs w:val="24"/>
        </w:rPr>
        <w:t>d</w:t>
      </w:r>
      <w:r w:rsidR="00D835EC">
        <w:rPr>
          <w:rFonts w:ascii="Times New Roman" w:hAnsi="Times New Roman" w:cs="Times New Roman"/>
          <w:i/>
          <w:iCs/>
          <w:sz w:val="24"/>
          <w:szCs w:val="24"/>
        </w:rPr>
        <w:t xml:space="preserve">) </w:t>
      </w:r>
      <w:r w:rsidR="00D835EC" w:rsidRPr="00600BF0">
        <w:rPr>
          <w:rFonts w:ascii="Times New Roman" w:hAnsi="Times New Roman" w:cs="Times New Roman"/>
          <w:iCs/>
          <w:sz w:val="24"/>
          <w:szCs w:val="24"/>
        </w:rPr>
        <w:t>rivedere le disposizioni dell’articolo 15, che introducono, per gli eventi di disoccupazione verificatisi nell’anno 2015, una indennità di disoccupazione per i lavoratori con rapporto di collaborazione coordinata e continuativa, al fine di assicurare un loro migliore coordinamento con la disciplina prevista a legislazione vigente dall’articolo 2, commi da 51 a 56, della legge 28 giugno 2012, n. 92, prevedendo in particolare che:</w:t>
      </w:r>
    </w:p>
    <w:p w:rsidR="00D835EC" w:rsidRPr="00600BF0" w:rsidRDefault="00D835EC">
      <w:pPr>
        <w:rPr>
          <w:rFonts w:ascii="Times New Roman" w:hAnsi="Times New Roman" w:cs="Times New Roman"/>
          <w:iCs/>
          <w:sz w:val="24"/>
          <w:szCs w:val="24"/>
        </w:rPr>
      </w:pPr>
      <w:r>
        <w:rPr>
          <w:rFonts w:ascii="Times New Roman" w:hAnsi="Times New Roman" w:cs="Times New Roman"/>
          <w:i/>
          <w:iCs/>
          <w:sz w:val="24"/>
          <w:szCs w:val="24"/>
        </w:rPr>
        <w:t xml:space="preserve">1) </w:t>
      </w:r>
      <w:r w:rsidRPr="00600BF0">
        <w:rPr>
          <w:rFonts w:ascii="Times New Roman" w:hAnsi="Times New Roman" w:cs="Times New Roman"/>
          <w:iCs/>
          <w:sz w:val="24"/>
          <w:szCs w:val="24"/>
        </w:rPr>
        <w:t>al primo periodo del comma 13, sia stabilito che i soggetti di cui all’articolo 2, commi  da 51 a 56, della legge 28 giugno 2012, n. 92, fruiscano esclusivamente delle prestazioni dell’articolo 15 per gli eventi di disoccupazione relativi all’anno 2015 e non solamente fino al 31 dicembre 2015;</w:t>
      </w:r>
    </w:p>
    <w:p w:rsidR="00D835EC" w:rsidRPr="00600BF0" w:rsidRDefault="00D835EC">
      <w:pPr>
        <w:rPr>
          <w:rFonts w:ascii="Times New Roman" w:hAnsi="Times New Roman" w:cs="Times New Roman"/>
          <w:iCs/>
          <w:sz w:val="24"/>
          <w:szCs w:val="24"/>
        </w:rPr>
      </w:pPr>
      <w:r>
        <w:rPr>
          <w:rFonts w:ascii="Times New Roman" w:hAnsi="Times New Roman" w:cs="Times New Roman"/>
          <w:i/>
          <w:iCs/>
          <w:sz w:val="24"/>
          <w:szCs w:val="24"/>
        </w:rPr>
        <w:t xml:space="preserve">2) </w:t>
      </w:r>
      <w:r w:rsidRPr="00600BF0">
        <w:rPr>
          <w:rFonts w:ascii="Times New Roman" w:hAnsi="Times New Roman" w:cs="Times New Roman"/>
          <w:iCs/>
          <w:sz w:val="24"/>
          <w:szCs w:val="24"/>
        </w:rPr>
        <w:t>al secondo periodo del comma 13, vengano fatti salvi anche i diritti maturati in base alla legislazione vigente in relazione a eventi di disoccupazione verificatisi nell’anno 2014;</w:t>
      </w:r>
    </w:p>
    <w:p w:rsidR="00D835EC" w:rsidRPr="00600BF0" w:rsidRDefault="00AC6FE6">
      <w:pPr>
        <w:rPr>
          <w:rFonts w:ascii="Times New Roman" w:hAnsi="Times New Roman" w:cs="Times New Roman"/>
          <w:iCs/>
          <w:sz w:val="24"/>
          <w:szCs w:val="24"/>
        </w:rPr>
      </w:pPr>
      <w:r>
        <w:rPr>
          <w:rFonts w:ascii="Times New Roman" w:hAnsi="Times New Roman" w:cs="Times New Roman"/>
          <w:i/>
          <w:iCs/>
          <w:sz w:val="24"/>
          <w:szCs w:val="24"/>
        </w:rPr>
        <w:t>e</w:t>
      </w:r>
      <w:r w:rsidR="00D835EC">
        <w:rPr>
          <w:rFonts w:ascii="Times New Roman" w:hAnsi="Times New Roman" w:cs="Times New Roman"/>
          <w:i/>
          <w:iCs/>
          <w:sz w:val="24"/>
          <w:szCs w:val="24"/>
        </w:rPr>
        <w:t xml:space="preserve">) </w:t>
      </w:r>
      <w:r w:rsidR="00D835EC" w:rsidRPr="00600BF0">
        <w:rPr>
          <w:rFonts w:ascii="Times New Roman" w:hAnsi="Times New Roman" w:cs="Times New Roman"/>
          <w:iCs/>
          <w:sz w:val="24"/>
          <w:szCs w:val="24"/>
        </w:rPr>
        <w:t>rivedere le ipotesi di decadenza dalla DIS-COLL previste dall’articolo 15, al fine di renderle omogenee a quelle previste, con riferimento alla NASpI, dall’articolo 11;</w:t>
      </w:r>
    </w:p>
    <w:p w:rsidR="00D835EC" w:rsidRDefault="00AC6FE6">
      <w:pPr>
        <w:rPr>
          <w:rFonts w:ascii="Times New Roman" w:hAnsi="Times New Roman" w:cs="Times New Roman"/>
          <w:i/>
          <w:iCs/>
          <w:sz w:val="24"/>
          <w:szCs w:val="24"/>
        </w:rPr>
      </w:pPr>
      <w:r>
        <w:rPr>
          <w:rFonts w:ascii="Times New Roman" w:hAnsi="Times New Roman" w:cs="Times New Roman"/>
          <w:i/>
          <w:iCs/>
          <w:sz w:val="24"/>
          <w:szCs w:val="24"/>
        </w:rPr>
        <w:t>f</w:t>
      </w:r>
      <w:r w:rsidR="00D835EC">
        <w:rPr>
          <w:rFonts w:ascii="Times New Roman" w:hAnsi="Times New Roman" w:cs="Times New Roman"/>
          <w:i/>
          <w:iCs/>
          <w:sz w:val="24"/>
          <w:szCs w:val="24"/>
        </w:rPr>
        <w:t xml:space="preserve">) </w:t>
      </w:r>
      <w:r w:rsidR="00D835EC" w:rsidRPr="00600BF0">
        <w:rPr>
          <w:rFonts w:ascii="Times New Roman" w:hAnsi="Times New Roman" w:cs="Times New Roman"/>
          <w:iCs/>
          <w:sz w:val="24"/>
          <w:szCs w:val="24"/>
        </w:rPr>
        <w:t>precisare che le disposizioni di cui all’articolo 16, comma 2, relative all’individuazione dei beneficiari del nuovo assegno di disoccupazione, si riferiscano al periodo di sperimentazione di cui al comma 1, anziché al primo anno di applicazione della nuova normativa;</w:t>
      </w:r>
    </w:p>
    <w:p w:rsidR="00D835EC" w:rsidRPr="005C56BE" w:rsidRDefault="00AC6FE6" w:rsidP="005C56BE">
      <w:pPr>
        <w:rPr>
          <w:rFonts w:ascii="Times New Roman" w:hAnsi="Times New Roman" w:cs="Times New Roman"/>
          <w:i/>
          <w:iCs/>
          <w:sz w:val="24"/>
          <w:szCs w:val="24"/>
        </w:rPr>
      </w:pPr>
      <w:r>
        <w:rPr>
          <w:rFonts w:ascii="Times New Roman" w:hAnsi="Times New Roman" w:cs="Times New Roman"/>
          <w:i/>
          <w:iCs/>
          <w:sz w:val="24"/>
          <w:szCs w:val="24"/>
        </w:rPr>
        <w:t>g</w:t>
      </w:r>
      <w:r w:rsidR="00D835EC" w:rsidRPr="009767E0">
        <w:rPr>
          <w:rFonts w:ascii="Times New Roman" w:hAnsi="Times New Roman" w:cs="Times New Roman"/>
          <w:i/>
          <w:iCs/>
          <w:sz w:val="24"/>
          <w:szCs w:val="24"/>
        </w:rPr>
        <w:t xml:space="preserve">) </w:t>
      </w:r>
      <w:r w:rsidR="00D835EC" w:rsidRPr="00600BF0">
        <w:rPr>
          <w:rFonts w:ascii="Times New Roman" w:hAnsi="Times New Roman" w:cs="Times New Roman"/>
          <w:iCs/>
          <w:sz w:val="24"/>
          <w:szCs w:val="24"/>
        </w:rPr>
        <w:t xml:space="preserve">chiarire che il decreto legislativo in materia di politiche attive per l’impiego assicuri, in conformità al criterio di delega di cui all’articolo 1, comma 4, lettera </w:t>
      </w:r>
      <w:r w:rsidR="00D835EC" w:rsidRPr="00566C05">
        <w:rPr>
          <w:rFonts w:ascii="Times New Roman" w:hAnsi="Times New Roman" w:cs="Times New Roman"/>
          <w:i/>
          <w:sz w:val="24"/>
          <w:szCs w:val="24"/>
        </w:rPr>
        <w:t>p)</w:t>
      </w:r>
      <w:r w:rsidR="00D835EC" w:rsidRPr="00566C05">
        <w:rPr>
          <w:rFonts w:ascii="Times New Roman" w:hAnsi="Times New Roman" w:cs="Times New Roman"/>
          <w:i/>
          <w:iCs/>
          <w:sz w:val="24"/>
          <w:szCs w:val="24"/>
        </w:rPr>
        <w:t>,</w:t>
      </w:r>
      <w:r w:rsidR="00D835EC" w:rsidRPr="00600BF0">
        <w:rPr>
          <w:rFonts w:ascii="Times New Roman" w:hAnsi="Times New Roman" w:cs="Times New Roman"/>
          <w:iCs/>
          <w:sz w:val="24"/>
          <w:szCs w:val="24"/>
        </w:rPr>
        <w:t xml:space="preserve"> della legge n. 183 del 2014, che la remunerazione delle agenzie per il lavoro sulla base del risultato ottenuto, di cui all’articolo 17, sia corrisposta in presenza dell’effettivo inserimento del lavoratore ricollocato per un </w:t>
      </w:r>
      <w:r w:rsidR="00600BF0">
        <w:rPr>
          <w:rFonts w:ascii="Times New Roman" w:hAnsi="Times New Roman" w:cs="Times New Roman"/>
          <w:iCs/>
          <w:sz w:val="24"/>
          <w:szCs w:val="24"/>
        </w:rPr>
        <w:t>congruo periodo.</w:t>
      </w:r>
    </w:p>
    <w:p w:rsidR="00AC6FE6" w:rsidRDefault="00AC6FE6">
      <w:pPr>
        <w:rPr>
          <w:rFonts w:ascii="Times New Roman" w:hAnsi="Times New Roman" w:cs="Times New Roman"/>
          <w:i/>
          <w:iCs/>
          <w:sz w:val="24"/>
          <w:szCs w:val="24"/>
        </w:rPr>
      </w:pPr>
    </w:p>
    <w:p w:rsidR="009767E0" w:rsidRDefault="009767E0">
      <w:pPr>
        <w:rPr>
          <w:rFonts w:ascii="Times New Roman" w:hAnsi="Times New Roman" w:cs="Times New Roman"/>
          <w:i/>
          <w:iCs/>
          <w:sz w:val="24"/>
          <w:szCs w:val="24"/>
        </w:rPr>
      </w:pPr>
    </w:p>
    <w:sectPr w:rsidR="009767E0" w:rsidSect="00E9020D">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34A" w:rsidRDefault="0051634A" w:rsidP="00F537BA">
      <w:pPr>
        <w:spacing w:line="240" w:lineRule="auto"/>
        <w:rPr>
          <w:rFonts w:cs="Times New Roman"/>
        </w:rPr>
      </w:pPr>
      <w:r>
        <w:rPr>
          <w:rFonts w:cs="Times New Roman"/>
        </w:rPr>
        <w:separator/>
      </w:r>
    </w:p>
  </w:endnote>
  <w:endnote w:type="continuationSeparator" w:id="0">
    <w:p w:rsidR="0051634A" w:rsidRDefault="0051634A" w:rsidP="00F537BA">
      <w:pPr>
        <w:spacing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5EC" w:rsidRDefault="00367B8D">
    <w:pPr>
      <w:pStyle w:val="Pidipagina"/>
      <w:jc w:val="right"/>
      <w:rPr>
        <w:rFonts w:cs="Times New Roman"/>
      </w:rPr>
    </w:pPr>
    <w:r>
      <w:fldChar w:fldCharType="begin"/>
    </w:r>
    <w:r w:rsidR="00407DDC">
      <w:instrText>PAGE   \* MERGEFORMAT</w:instrText>
    </w:r>
    <w:r>
      <w:fldChar w:fldCharType="separate"/>
    </w:r>
    <w:r w:rsidR="00F95802">
      <w:rPr>
        <w:noProof/>
      </w:rPr>
      <w:t>1</w:t>
    </w:r>
    <w:r>
      <w:rPr>
        <w:noProof/>
      </w:rPr>
      <w:fldChar w:fldCharType="end"/>
    </w:r>
  </w:p>
  <w:p w:rsidR="00D835EC" w:rsidRDefault="00D835EC">
    <w:pPr>
      <w:pStyle w:val="Pidipagina"/>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34A" w:rsidRDefault="0051634A" w:rsidP="00F537BA">
      <w:pPr>
        <w:spacing w:line="240" w:lineRule="auto"/>
        <w:rPr>
          <w:rFonts w:cs="Times New Roman"/>
        </w:rPr>
      </w:pPr>
      <w:r>
        <w:rPr>
          <w:rFonts w:cs="Times New Roman"/>
        </w:rPr>
        <w:separator/>
      </w:r>
    </w:p>
  </w:footnote>
  <w:footnote w:type="continuationSeparator" w:id="0">
    <w:p w:rsidR="0051634A" w:rsidRDefault="0051634A" w:rsidP="00F537BA">
      <w:pPr>
        <w:spacing w:line="240" w:lineRule="auto"/>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rsids>
    <w:rsidRoot w:val="00DA67B7"/>
    <w:rsid w:val="000645C1"/>
    <w:rsid w:val="000A0C57"/>
    <w:rsid w:val="000D6173"/>
    <w:rsid w:val="000E1DBF"/>
    <w:rsid w:val="00126304"/>
    <w:rsid w:val="00140144"/>
    <w:rsid w:val="00154218"/>
    <w:rsid w:val="00165B0F"/>
    <w:rsid w:val="001D123D"/>
    <w:rsid w:val="001F18BF"/>
    <w:rsid w:val="001F63B6"/>
    <w:rsid w:val="0021755F"/>
    <w:rsid w:val="00230853"/>
    <w:rsid w:val="002309E3"/>
    <w:rsid w:val="00235685"/>
    <w:rsid w:val="002A1526"/>
    <w:rsid w:val="002E0680"/>
    <w:rsid w:val="00306F36"/>
    <w:rsid w:val="0033511C"/>
    <w:rsid w:val="00362609"/>
    <w:rsid w:val="00367B8D"/>
    <w:rsid w:val="0039261D"/>
    <w:rsid w:val="003F1143"/>
    <w:rsid w:val="003F7B4C"/>
    <w:rsid w:val="00407DDC"/>
    <w:rsid w:val="0045278B"/>
    <w:rsid w:val="00467F54"/>
    <w:rsid w:val="004D11CD"/>
    <w:rsid w:val="004E4EAC"/>
    <w:rsid w:val="00514716"/>
    <w:rsid w:val="0051634A"/>
    <w:rsid w:val="00566C05"/>
    <w:rsid w:val="005A2D59"/>
    <w:rsid w:val="005C42E1"/>
    <w:rsid w:val="005C56BE"/>
    <w:rsid w:val="005D2D80"/>
    <w:rsid w:val="00600BF0"/>
    <w:rsid w:val="006213C1"/>
    <w:rsid w:val="00623BB6"/>
    <w:rsid w:val="00666815"/>
    <w:rsid w:val="00685116"/>
    <w:rsid w:val="006A1501"/>
    <w:rsid w:val="006B0624"/>
    <w:rsid w:val="006B13DA"/>
    <w:rsid w:val="006E22A0"/>
    <w:rsid w:val="00723E8C"/>
    <w:rsid w:val="007603EE"/>
    <w:rsid w:val="00766F7A"/>
    <w:rsid w:val="0077136F"/>
    <w:rsid w:val="00773BDF"/>
    <w:rsid w:val="007753E5"/>
    <w:rsid w:val="007B7F6A"/>
    <w:rsid w:val="00825DD4"/>
    <w:rsid w:val="00882BDF"/>
    <w:rsid w:val="00897A94"/>
    <w:rsid w:val="008B34B2"/>
    <w:rsid w:val="008E31F9"/>
    <w:rsid w:val="008E515C"/>
    <w:rsid w:val="00912A7F"/>
    <w:rsid w:val="0091752B"/>
    <w:rsid w:val="009767E0"/>
    <w:rsid w:val="0098413D"/>
    <w:rsid w:val="00A23580"/>
    <w:rsid w:val="00A31016"/>
    <w:rsid w:val="00A33369"/>
    <w:rsid w:val="00A42FBD"/>
    <w:rsid w:val="00A825D5"/>
    <w:rsid w:val="00A917E2"/>
    <w:rsid w:val="00A9510D"/>
    <w:rsid w:val="00AC6FE6"/>
    <w:rsid w:val="00B01D3B"/>
    <w:rsid w:val="00B37E9B"/>
    <w:rsid w:val="00B45AD0"/>
    <w:rsid w:val="00B76118"/>
    <w:rsid w:val="00C1047F"/>
    <w:rsid w:val="00C163B5"/>
    <w:rsid w:val="00C477C2"/>
    <w:rsid w:val="00C86DE0"/>
    <w:rsid w:val="00D10325"/>
    <w:rsid w:val="00D70799"/>
    <w:rsid w:val="00D835EC"/>
    <w:rsid w:val="00DA67B7"/>
    <w:rsid w:val="00DB4A2B"/>
    <w:rsid w:val="00DC3F86"/>
    <w:rsid w:val="00DF33AE"/>
    <w:rsid w:val="00E4441C"/>
    <w:rsid w:val="00E500CC"/>
    <w:rsid w:val="00E84C20"/>
    <w:rsid w:val="00E9020D"/>
    <w:rsid w:val="00EB2435"/>
    <w:rsid w:val="00EC2D6A"/>
    <w:rsid w:val="00F43C94"/>
    <w:rsid w:val="00F537BA"/>
    <w:rsid w:val="00F55F75"/>
    <w:rsid w:val="00F958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1D3B"/>
    <w:pPr>
      <w:spacing w:line="300" w:lineRule="atLeast"/>
      <w:ind w:firstLine="284"/>
      <w:jc w:val="both"/>
    </w:pPr>
    <w:rPr>
      <w:rFonts w:ascii="Arial" w:eastAsia="Times New Roman"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537B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537BA"/>
    <w:rPr>
      <w:rFonts w:ascii="Arial" w:hAnsi="Arial" w:cs="Arial"/>
      <w:lang w:eastAsia="it-IT"/>
    </w:rPr>
  </w:style>
  <w:style w:type="paragraph" w:styleId="Pidipagina">
    <w:name w:val="footer"/>
    <w:basedOn w:val="Normale"/>
    <w:link w:val="PidipaginaCarattere"/>
    <w:uiPriority w:val="99"/>
    <w:rsid w:val="00F537B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537BA"/>
    <w:rPr>
      <w:rFonts w:ascii="Arial" w:hAnsi="Arial" w:cs="Arial"/>
      <w:lang w:eastAsia="it-IT"/>
    </w:rPr>
  </w:style>
  <w:style w:type="paragraph" w:styleId="Testofumetto">
    <w:name w:val="Balloon Text"/>
    <w:basedOn w:val="Normale"/>
    <w:link w:val="TestofumettoCarattere"/>
    <w:uiPriority w:val="99"/>
    <w:semiHidden/>
    <w:unhideWhenUsed/>
    <w:rsid w:val="00DF33A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33A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56FE5-1B2B-419D-9EF6-757500CF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2583</Words>
  <Characters>14727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Camera dei Deputati</Company>
  <LinksUpToDate>false</LinksUpToDate>
  <CharactersWithSpaces>17276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Utente_locale</dc:creator>
  <cp:lastModifiedBy>Utente</cp:lastModifiedBy>
  <cp:revision>2</cp:revision>
  <cp:lastPrinted>2015-02-12T18:24:00Z</cp:lastPrinted>
  <dcterms:created xsi:type="dcterms:W3CDTF">2015-02-17T19:06:00Z</dcterms:created>
  <dcterms:modified xsi:type="dcterms:W3CDTF">2015-02-17T19:06:00Z</dcterms:modified>
</cp:coreProperties>
</file>